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63" w:rsidRPr="0022300F" w:rsidRDefault="001C1063" w:rsidP="001C1063">
      <w:pPr>
        <w:jc w:val="center"/>
        <w:rPr>
          <w:b/>
        </w:rPr>
      </w:pPr>
      <w:r w:rsidRPr="0022300F">
        <w:rPr>
          <w:b/>
        </w:rPr>
        <w:t xml:space="preserve">Data Request </w:t>
      </w:r>
      <w:r w:rsidR="002D5737">
        <w:rPr>
          <w:b/>
        </w:rPr>
        <w:t>TURN-SCG-50</w:t>
      </w:r>
    </w:p>
    <w:p w:rsidR="001C1063" w:rsidRPr="0022300F" w:rsidRDefault="001C1063" w:rsidP="001C1063">
      <w:pPr>
        <w:jc w:val="center"/>
        <w:rPr>
          <w:b/>
        </w:rPr>
      </w:pPr>
      <w:r w:rsidRPr="0022300F">
        <w:rPr>
          <w:b/>
        </w:rPr>
        <w:t>A.</w:t>
      </w:r>
      <w:r w:rsidR="002D5737">
        <w:rPr>
          <w:b/>
        </w:rPr>
        <w:t>10</w:t>
      </w:r>
      <w:r w:rsidRPr="0022300F">
        <w:rPr>
          <w:b/>
        </w:rPr>
        <w:t>-</w:t>
      </w:r>
      <w:r w:rsidR="00B22962">
        <w:rPr>
          <w:b/>
        </w:rPr>
        <w:t>12</w:t>
      </w:r>
      <w:r w:rsidRPr="0022300F">
        <w:rPr>
          <w:b/>
        </w:rPr>
        <w:t>-</w:t>
      </w:r>
      <w:r w:rsidR="002D5737">
        <w:rPr>
          <w:b/>
        </w:rPr>
        <w:t>006</w:t>
      </w:r>
      <w:r w:rsidRPr="0022300F">
        <w:rPr>
          <w:b/>
        </w:rPr>
        <w:t xml:space="preserve"> </w:t>
      </w:r>
      <w:proofErr w:type="spellStart"/>
      <w:r w:rsidR="002D5737">
        <w:rPr>
          <w:b/>
        </w:rPr>
        <w:t>SoCalGas</w:t>
      </w:r>
      <w:proofErr w:type="spellEnd"/>
      <w:r w:rsidR="002D5737">
        <w:rPr>
          <w:b/>
        </w:rPr>
        <w:t xml:space="preserve"> 2012</w:t>
      </w:r>
      <w:r w:rsidRPr="0022300F">
        <w:rPr>
          <w:b/>
        </w:rPr>
        <w:t xml:space="preserve"> </w:t>
      </w:r>
      <w:r>
        <w:rPr>
          <w:b/>
        </w:rPr>
        <w:t xml:space="preserve">TY </w:t>
      </w:r>
      <w:r w:rsidRPr="0022300F">
        <w:rPr>
          <w:b/>
        </w:rPr>
        <w:t xml:space="preserve">GRC </w:t>
      </w:r>
    </w:p>
    <w:p w:rsidR="002F0AE4" w:rsidRDefault="002F0AE4" w:rsidP="001C1063">
      <w:pPr>
        <w:jc w:val="center"/>
        <w:rPr>
          <w:b/>
        </w:rPr>
      </w:pPr>
    </w:p>
    <w:p w:rsidR="00BD0F87" w:rsidRDefault="002F0AE4" w:rsidP="002F0AE4">
      <w:pPr>
        <w:rPr>
          <w:b/>
        </w:rPr>
      </w:pPr>
      <w:r>
        <w:rPr>
          <w:b/>
        </w:rPr>
        <w:t xml:space="preserve">Request Sent:  </w:t>
      </w:r>
      <w:r w:rsidR="002D5737">
        <w:rPr>
          <w:b/>
        </w:rPr>
        <w:t xml:space="preserve">December </w:t>
      </w:r>
      <w:r>
        <w:rPr>
          <w:b/>
        </w:rPr>
        <w:t>7</w:t>
      </w:r>
      <w:r w:rsidR="002D5737">
        <w:rPr>
          <w:b/>
        </w:rPr>
        <w:t>, 2011</w:t>
      </w:r>
    </w:p>
    <w:p w:rsidR="002F0AE4" w:rsidRDefault="002F0AE4" w:rsidP="002F0AE4">
      <w:pPr>
        <w:rPr>
          <w:b/>
        </w:rPr>
      </w:pPr>
      <w:r>
        <w:rPr>
          <w:b/>
        </w:rPr>
        <w:t xml:space="preserve">Response Due, per agreement between TURN and </w:t>
      </w:r>
      <w:proofErr w:type="spellStart"/>
      <w:r>
        <w:rPr>
          <w:b/>
        </w:rPr>
        <w:t>SoCalGas</w:t>
      </w:r>
      <w:proofErr w:type="spellEnd"/>
      <w:r>
        <w:rPr>
          <w:b/>
        </w:rPr>
        <w:t xml:space="preserve">:  Dec. 8, 2011 </w:t>
      </w:r>
    </w:p>
    <w:p w:rsidR="002F0AE4" w:rsidRDefault="002F0AE4" w:rsidP="001C1063">
      <w:pPr>
        <w:jc w:val="center"/>
        <w:rPr>
          <w:b/>
        </w:rPr>
      </w:pPr>
    </w:p>
    <w:p w:rsidR="00E336EB" w:rsidRDefault="002D5737" w:rsidP="00E336EB">
      <w:pPr>
        <w:spacing w:after="180"/>
        <w:rPr>
          <w:b/>
          <w:u w:val="single"/>
        </w:rPr>
      </w:pPr>
      <w:r>
        <w:rPr>
          <w:b/>
          <w:u w:val="single"/>
        </w:rPr>
        <w:t>Customer Service Field Operations &amp; Customer Contact</w:t>
      </w:r>
      <w:r w:rsidR="0098142B">
        <w:rPr>
          <w:b/>
          <w:u w:val="single"/>
        </w:rPr>
        <w:t xml:space="preserve"> </w:t>
      </w:r>
      <w:r>
        <w:rPr>
          <w:b/>
          <w:u w:val="single"/>
        </w:rPr>
        <w:t>–</w:t>
      </w:r>
      <w:r w:rsidR="0098142B">
        <w:rPr>
          <w:b/>
          <w:u w:val="single"/>
        </w:rPr>
        <w:t xml:space="preserve"> </w:t>
      </w:r>
      <w:r>
        <w:rPr>
          <w:b/>
          <w:u w:val="single"/>
        </w:rPr>
        <w:t xml:space="preserve">Branch Offices &amp; Authorized Pay Locations </w:t>
      </w:r>
      <w:r w:rsidR="00E336EB">
        <w:rPr>
          <w:b/>
          <w:u w:val="single"/>
        </w:rPr>
        <w:t>(</w:t>
      </w:r>
      <w:r w:rsidR="0098142B">
        <w:rPr>
          <w:b/>
          <w:u w:val="single"/>
        </w:rPr>
        <w:t>Ex</w:t>
      </w:r>
      <w:r>
        <w:rPr>
          <w:b/>
          <w:u w:val="single"/>
        </w:rPr>
        <w:t>hibits</w:t>
      </w:r>
      <w:r w:rsidR="0098142B">
        <w:rPr>
          <w:b/>
          <w:u w:val="single"/>
        </w:rPr>
        <w:t xml:space="preserve"> </w:t>
      </w:r>
      <w:r>
        <w:rPr>
          <w:b/>
          <w:u w:val="single"/>
        </w:rPr>
        <w:t>SCG-7, SCG-207</w:t>
      </w:r>
      <w:r w:rsidR="00E336EB">
        <w:rPr>
          <w:b/>
          <w:u w:val="single"/>
        </w:rPr>
        <w:t>)</w:t>
      </w:r>
    </w:p>
    <w:p w:rsidR="00AA2136" w:rsidRDefault="00AA2136" w:rsidP="009E50AD">
      <w:pPr>
        <w:numPr>
          <w:ilvl w:val="0"/>
          <w:numId w:val="34"/>
        </w:numPr>
        <w:ind w:hanging="720"/>
      </w:pPr>
      <w:r>
        <w:t xml:space="preserve">SCG’s </w:t>
      </w:r>
      <w:proofErr w:type="spellStart"/>
      <w:r>
        <w:t>workpaper</w:t>
      </w:r>
      <w:proofErr w:type="spellEnd"/>
      <w:r>
        <w:t xml:space="preserve"> Ex. SCG-07-WP-R/E. Fong, p. 125 provides the cost breakdown for FACTA Red Flag implementation at APLs, including 1 FTE at </w:t>
      </w:r>
      <w:proofErr w:type="spellStart"/>
      <w:r>
        <w:t>SoCalGas</w:t>
      </w:r>
      <w:proofErr w:type="spellEnd"/>
      <w:r>
        <w:t xml:space="preserve"> “to assist with APLs” and incremental non-labor costs at APLs associated with each “Positive Identification (POSID)” of $0.31 per transaction, plus $0.05 per image stored.  </w:t>
      </w:r>
      <w:r w:rsidR="002D5737">
        <w:t>At Ex. SCG-207, pp. EF-51 - 52, SCG explains that “FACTA implementation at APLs raised privacy and identity theft concerns,” and as a result, SCG did not include APLs in t</w:t>
      </w:r>
      <w:r>
        <w:t>he FACTA Red Flag implementation</w:t>
      </w:r>
      <w:r w:rsidR="009E50AD">
        <w:t>.</w:t>
      </w:r>
      <w:r w:rsidR="002D5737">
        <w:t xml:space="preserve">  </w:t>
      </w:r>
      <w:r>
        <w:t>Please answer the following questions about these statements</w:t>
      </w:r>
      <w:r w:rsidR="00253FBA">
        <w:t>.</w:t>
      </w:r>
    </w:p>
    <w:p w:rsidR="00AA2136" w:rsidRDefault="00AA2136" w:rsidP="00AA2136">
      <w:pPr>
        <w:ind w:left="720"/>
      </w:pPr>
    </w:p>
    <w:p w:rsidR="00AA2136" w:rsidRDefault="00AA2136" w:rsidP="00AA2136">
      <w:pPr>
        <w:ind w:left="1440" w:hanging="720"/>
      </w:pPr>
      <w:r>
        <w:t>a.</w:t>
      </w:r>
      <w:r>
        <w:tab/>
        <w:t>At the time SCG prepared its direct testimony in this proceeding, when did SCG plan to implement FACTA Red Flag procedures at APLs?</w:t>
      </w:r>
    </w:p>
    <w:p w:rsidR="00AA2136" w:rsidRDefault="00AA2136" w:rsidP="00AA2136">
      <w:pPr>
        <w:ind w:left="1440" w:hanging="720"/>
      </w:pPr>
    </w:p>
    <w:p w:rsidR="009E50AD" w:rsidRDefault="00AA2136" w:rsidP="00AA2136">
      <w:pPr>
        <w:ind w:left="1440" w:hanging="720"/>
      </w:pPr>
      <w:r>
        <w:t>b.</w:t>
      </w:r>
      <w:r>
        <w:tab/>
      </w:r>
      <w:r w:rsidR="002D5737">
        <w:t xml:space="preserve">When did SCG’s concerns </w:t>
      </w:r>
      <w:r>
        <w:t>about</w:t>
      </w:r>
      <w:r w:rsidR="002D5737">
        <w:t xml:space="preserve"> </w:t>
      </w:r>
      <w:r w:rsidR="00B95B80">
        <w:t>“</w:t>
      </w:r>
      <w:r w:rsidR="002D5737">
        <w:t xml:space="preserve">customer information security and </w:t>
      </w:r>
      <w:r w:rsidR="00B95B80">
        <w:t xml:space="preserve">with </w:t>
      </w:r>
      <w:r w:rsidR="002D5737">
        <w:t>customers sharing personal information with non-company employees</w:t>
      </w:r>
      <w:r w:rsidR="00B95B80">
        <w:t>” (Ex. SCG-207, p. EF-52)</w:t>
      </w:r>
      <w:r w:rsidR="002D5737">
        <w:t xml:space="preserve"> </w:t>
      </w:r>
      <w:r>
        <w:t xml:space="preserve">at APLs </w:t>
      </w:r>
      <w:r w:rsidR="002D5737">
        <w:t xml:space="preserve">arise?  </w:t>
      </w:r>
    </w:p>
    <w:p w:rsidR="009E50AD" w:rsidRDefault="009E50AD" w:rsidP="009E50AD">
      <w:pPr>
        <w:ind w:hanging="720"/>
      </w:pPr>
    </w:p>
    <w:p w:rsidR="00B95B80" w:rsidRDefault="00AA2136" w:rsidP="00B95B80">
      <w:pPr>
        <w:numPr>
          <w:ilvl w:val="0"/>
          <w:numId w:val="34"/>
        </w:numPr>
        <w:ind w:hanging="720"/>
      </w:pPr>
      <w:r>
        <w:t xml:space="preserve">At Ex. SCG-207, p. EF-52, SCG </w:t>
      </w:r>
      <w:r w:rsidR="00B95B80">
        <w:t xml:space="preserve">states:  “SCG is seeking alternative solutions to increase the opportunities for FACTA customer identification verification.”  When did SCG begin seeking alternatives to the approach for FACTA Red Flag implementation at APLs that formed the basis of SCG’s forecast in </w:t>
      </w:r>
      <w:proofErr w:type="spellStart"/>
      <w:r w:rsidR="00B95B80">
        <w:t>workpaper</w:t>
      </w:r>
      <w:proofErr w:type="spellEnd"/>
      <w:r w:rsidR="00B95B80">
        <w:t xml:space="preserve"> Ex. SCG-07-WP-R/E. Fong, p. 125?</w:t>
      </w:r>
    </w:p>
    <w:p w:rsidR="00B95B80" w:rsidRDefault="00B95B80" w:rsidP="00B95B80">
      <w:pPr>
        <w:ind w:left="720"/>
      </w:pPr>
    </w:p>
    <w:p w:rsidR="00B95B80" w:rsidRDefault="00B95B80" w:rsidP="00B95B80">
      <w:pPr>
        <w:numPr>
          <w:ilvl w:val="0"/>
          <w:numId w:val="34"/>
        </w:numPr>
        <w:ind w:hanging="720"/>
      </w:pPr>
      <w:r w:rsidRPr="00B95B80">
        <w:t xml:space="preserve">Does </w:t>
      </w:r>
      <w:proofErr w:type="spellStart"/>
      <w:r w:rsidRPr="00B95B80">
        <w:t>SoCalGas</w:t>
      </w:r>
      <w:proofErr w:type="spellEnd"/>
      <w:r w:rsidRPr="00B95B80">
        <w:t xml:space="preserve"> believe that FACTA red flag implementation is required at APLs</w:t>
      </w:r>
      <w:r>
        <w:t>?</w:t>
      </w:r>
    </w:p>
    <w:p w:rsidR="009E50AD" w:rsidRDefault="009E50AD" w:rsidP="009E50AD">
      <w:pPr>
        <w:ind w:hanging="720"/>
      </w:pPr>
    </w:p>
    <w:p w:rsidR="00B95B80" w:rsidRDefault="00B95B80" w:rsidP="009E50AD">
      <w:pPr>
        <w:numPr>
          <w:ilvl w:val="0"/>
          <w:numId w:val="34"/>
        </w:numPr>
        <w:ind w:hanging="720"/>
      </w:pPr>
      <w:r>
        <w:t>At Ex. SCG-207, p. EF-52, SCG states:  “SCG is assessing and evaluating the use of third party services that provide customer ‘challenge’ questions to ensure customer identity verification.”  Please answer the following questions related to this statement</w:t>
      </w:r>
      <w:r w:rsidR="00253FBA">
        <w:t>.</w:t>
      </w:r>
    </w:p>
    <w:p w:rsidR="00B95B80" w:rsidRDefault="00B95B80" w:rsidP="00B95B80">
      <w:pPr>
        <w:ind w:left="720"/>
      </w:pPr>
    </w:p>
    <w:p w:rsidR="00B95B80" w:rsidRDefault="00B95B80" w:rsidP="00B95B80">
      <w:pPr>
        <w:ind w:left="1440" w:hanging="720"/>
      </w:pPr>
      <w:r>
        <w:t>a.</w:t>
      </w:r>
      <w:r>
        <w:tab/>
        <w:t xml:space="preserve">What is the status of </w:t>
      </w:r>
      <w:proofErr w:type="spellStart"/>
      <w:r>
        <w:t>SoCalGas</w:t>
      </w:r>
      <w:proofErr w:type="spellEnd"/>
      <w:r>
        <w:t>’ evaluation of the use of “third party services that provide customer ‘challenge’ questions to ensure customer identity verification” for FACTA red flag compliance work at APLs?</w:t>
      </w:r>
    </w:p>
    <w:p w:rsidR="00253FBA" w:rsidRDefault="00253FBA" w:rsidP="00B95B80">
      <w:pPr>
        <w:ind w:left="1440" w:hanging="720"/>
      </w:pPr>
    </w:p>
    <w:p w:rsidR="007471A2" w:rsidRDefault="00B95B80" w:rsidP="00B95B80">
      <w:pPr>
        <w:ind w:left="1440" w:hanging="720"/>
      </w:pPr>
      <w:proofErr w:type="gramStart"/>
      <w:r>
        <w:t>b</w:t>
      </w:r>
      <w:proofErr w:type="gramEnd"/>
      <w:r>
        <w:t>.</w:t>
      </w:r>
      <w:r>
        <w:tab/>
        <w:t xml:space="preserve">If </w:t>
      </w:r>
      <w:proofErr w:type="spellStart"/>
      <w:r>
        <w:t>SoCalGas</w:t>
      </w:r>
      <w:proofErr w:type="spellEnd"/>
      <w:r>
        <w:t xml:space="preserve"> has decided to use this approach, please </w:t>
      </w:r>
    </w:p>
    <w:p w:rsidR="007471A2" w:rsidRDefault="004E60E3" w:rsidP="007471A2">
      <w:pPr>
        <w:ind w:left="2160" w:hanging="720"/>
      </w:pPr>
      <w:r>
        <w:t>(</w:t>
      </w:r>
      <w:proofErr w:type="spellStart"/>
      <w:r>
        <w:t>i</w:t>
      </w:r>
      <w:proofErr w:type="spellEnd"/>
      <w:r>
        <w:t xml:space="preserve">) </w:t>
      </w:r>
      <w:r w:rsidR="007471A2">
        <w:tab/>
        <w:t>P</w:t>
      </w:r>
      <w:r w:rsidR="00B95B80">
        <w:t xml:space="preserve">rovide a cost breakdown showing </w:t>
      </w:r>
      <w:proofErr w:type="spellStart"/>
      <w:r w:rsidR="00B95B80">
        <w:t>SoCalGas</w:t>
      </w:r>
      <w:proofErr w:type="spellEnd"/>
      <w:r w:rsidR="00B95B80">
        <w:t>’ anticipated annual budget for FACTA Red Flag compliance work at APLs using this approach</w:t>
      </w:r>
      <w:r w:rsidR="007471A2">
        <w:t xml:space="preserve">.  </w:t>
      </w:r>
    </w:p>
    <w:p w:rsidR="007471A2" w:rsidRDefault="004E60E3" w:rsidP="007471A2">
      <w:pPr>
        <w:ind w:left="2160" w:hanging="720"/>
      </w:pPr>
      <w:r>
        <w:lastRenderedPageBreak/>
        <w:t xml:space="preserve"> </w:t>
      </w:r>
    </w:p>
    <w:p w:rsidR="00B95B80" w:rsidRDefault="004E60E3" w:rsidP="007471A2">
      <w:pPr>
        <w:ind w:left="2160" w:hanging="720"/>
      </w:pPr>
      <w:r>
        <w:t xml:space="preserve">(ii) </w:t>
      </w:r>
      <w:r w:rsidR="007471A2">
        <w:tab/>
        <w:t xml:space="preserve">Provide </w:t>
      </w:r>
      <w:r>
        <w:t>an estimated implementation date.</w:t>
      </w:r>
    </w:p>
    <w:p w:rsidR="00B95B80" w:rsidRDefault="00B95B80" w:rsidP="00B95B80">
      <w:pPr>
        <w:ind w:left="1440" w:hanging="720"/>
      </w:pPr>
    </w:p>
    <w:p w:rsidR="004E60E3" w:rsidRDefault="004E60E3" w:rsidP="00B95B80">
      <w:pPr>
        <w:ind w:left="1440" w:hanging="720"/>
      </w:pPr>
      <w:r>
        <w:t>c</w:t>
      </w:r>
      <w:r w:rsidR="00B95B80">
        <w:t>.</w:t>
      </w:r>
      <w:r w:rsidR="00B95B80">
        <w:tab/>
        <w:t xml:space="preserve">If </w:t>
      </w:r>
      <w:proofErr w:type="spellStart"/>
      <w:r w:rsidR="00B95B80">
        <w:t>SoCalGas</w:t>
      </w:r>
      <w:proofErr w:type="spellEnd"/>
      <w:r w:rsidR="00B95B80">
        <w:t xml:space="preserve"> is evaluating </w:t>
      </w:r>
      <w:r>
        <w:t xml:space="preserve">an </w:t>
      </w:r>
      <w:r w:rsidR="00B95B80">
        <w:t>approach to FACTA compliance at APLs</w:t>
      </w:r>
      <w:r>
        <w:t xml:space="preserve"> other than the approach referenced in question (a) above</w:t>
      </w:r>
      <w:r w:rsidR="00B95B80">
        <w:t xml:space="preserve">, please </w:t>
      </w:r>
    </w:p>
    <w:p w:rsidR="004E60E3" w:rsidRDefault="004E60E3" w:rsidP="00B95B80">
      <w:pPr>
        <w:ind w:left="1440" w:hanging="720"/>
      </w:pPr>
    </w:p>
    <w:p w:rsidR="004E60E3" w:rsidRDefault="00B95B80" w:rsidP="004E60E3">
      <w:pPr>
        <w:ind w:left="2160" w:hanging="720"/>
      </w:pPr>
      <w:r>
        <w:t>(</w:t>
      </w:r>
      <w:proofErr w:type="spellStart"/>
      <w:r>
        <w:t>i</w:t>
      </w:r>
      <w:proofErr w:type="spellEnd"/>
      <w:r>
        <w:t xml:space="preserve">) </w:t>
      </w:r>
      <w:r w:rsidR="004E60E3">
        <w:tab/>
        <w:t>Describe the approach;</w:t>
      </w:r>
    </w:p>
    <w:p w:rsidR="004E60E3" w:rsidRDefault="004E60E3" w:rsidP="004E60E3">
      <w:pPr>
        <w:ind w:left="2160" w:hanging="720"/>
      </w:pPr>
    </w:p>
    <w:p w:rsidR="004E60E3" w:rsidRDefault="00B95B80" w:rsidP="004E60E3">
      <w:pPr>
        <w:ind w:left="2160" w:hanging="720"/>
      </w:pPr>
      <w:r>
        <w:t xml:space="preserve">(ii) </w:t>
      </w:r>
      <w:r w:rsidR="004E60E3">
        <w:tab/>
        <w:t>P</w:t>
      </w:r>
      <w:r>
        <w:t xml:space="preserve">rovide a cost breakdown showing </w:t>
      </w:r>
      <w:proofErr w:type="spellStart"/>
      <w:r>
        <w:t>SoCalGas</w:t>
      </w:r>
      <w:proofErr w:type="spellEnd"/>
      <w:r>
        <w:t>’ anticipated annual budget for FACTA red flag compliance work at APLs using the approach described in response to part (</w:t>
      </w:r>
      <w:proofErr w:type="spellStart"/>
      <w:r>
        <w:t>i</w:t>
      </w:r>
      <w:proofErr w:type="spellEnd"/>
      <w:r w:rsidR="004E60E3">
        <w:t>);</w:t>
      </w:r>
    </w:p>
    <w:p w:rsidR="004E60E3" w:rsidRDefault="004E60E3" w:rsidP="004E60E3">
      <w:pPr>
        <w:ind w:left="2160" w:hanging="720"/>
      </w:pPr>
    </w:p>
    <w:p w:rsidR="004E60E3" w:rsidRDefault="00DC57C4" w:rsidP="004E60E3">
      <w:pPr>
        <w:ind w:left="2160" w:hanging="720"/>
      </w:pPr>
      <w:r>
        <w:t xml:space="preserve">(iii) </w:t>
      </w:r>
      <w:r>
        <w:tab/>
        <w:t>Estimate</w:t>
      </w:r>
      <w:r w:rsidR="004E60E3">
        <w:t xml:space="preserve"> when </w:t>
      </w:r>
      <w:proofErr w:type="spellStart"/>
      <w:r w:rsidR="004E60E3">
        <w:t>SoCalGas</w:t>
      </w:r>
      <w:proofErr w:type="spellEnd"/>
      <w:r w:rsidR="004E60E3">
        <w:t xml:space="preserve"> expects to implement this approach</w:t>
      </w:r>
      <w:r>
        <w:t xml:space="preserve"> if adopted</w:t>
      </w:r>
      <w:r w:rsidR="004E60E3">
        <w:t>.</w:t>
      </w:r>
    </w:p>
    <w:p w:rsidR="004E60E3" w:rsidRDefault="004E60E3" w:rsidP="00B95B80">
      <w:pPr>
        <w:ind w:left="1440" w:hanging="720"/>
      </w:pPr>
    </w:p>
    <w:p w:rsidR="00B95B80" w:rsidRDefault="00B95B80" w:rsidP="004E60E3">
      <w:pPr>
        <w:ind w:left="1440"/>
      </w:pPr>
      <w:r>
        <w:t xml:space="preserve">If </w:t>
      </w:r>
      <w:proofErr w:type="spellStart"/>
      <w:r>
        <w:t>SoCalGas</w:t>
      </w:r>
      <w:proofErr w:type="spellEnd"/>
      <w:r>
        <w:t xml:space="preserve"> is evaluating multiple approaches, please answer parts (</w:t>
      </w:r>
      <w:proofErr w:type="spellStart"/>
      <w:r>
        <w:t>i</w:t>
      </w:r>
      <w:proofErr w:type="spellEnd"/>
      <w:r>
        <w:t xml:space="preserve">) </w:t>
      </w:r>
      <w:r w:rsidR="004E60E3">
        <w:t>through</w:t>
      </w:r>
      <w:r>
        <w:t xml:space="preserve"> (ii</w:t>
      </w:r>
      <w:r w:rsidR="004E60E3">
        <w:t>i</w:t>
      </w:r>
      <w:r>
        <w:t>) for each approach under consideration.</w:t>
      </w:r>
    </w:p>
    <w:p w:rsidR="00B95B80" w:rsidRDefault="00B95B80" w:rsidP="00B95B80">
      <w:pPr>
        <w:ind w:left="1440" w:hanging="720"/>
      </w:pPr>
    </w:p>
    <w:p w:rsidR="004E60E3" w:rsidRDefault="004E60E3" w:rsidP="004E60E3">
      <w:pPr>
        <w:ind w:left="1440" w:hanging="720"/>
      </w:pPr>
      <w:r>
        <w:t>d</w:t>
      </w:r>
      <w:r w:rsidR="00B95B80">
        <w:t>.</w:t>
      </w:r>
      <w:r w:rsidR="00B95B80">
        <w:tab/>
        <w:t xml:space="preserve">If </w:t>
      </w:r>
      <w:proofErr w:type="spellStart"/>
      <w:r w:rsidR="00B95B80">
        <w:t>SoCalGas</w:t>
      </w:r>
      <w:proofErr w:type="spellEnd"/>
      <w:r w:rsidR="00B95B80">
        <w:t xml:space="preserve"> has already decided upon </w:t>
      </w:r>
      <w:r>
        <w:t>an</w:t>
      </w:r>
      <w:r w:rsidR="00B95B80">
        <w:t xml:space="preserve"> approach to FACTA compliance at APLs</w:t>
      </w:r>
      <w:r>
        <w:t xml:space="preserve"> other than the approach referenced in question (a) above</w:t>
      </w:r>
      <w:r w:rsidR="00B95B80">
        <w:t xml:space="preserve">, please </w:t>
      </w:r>
    </w:p>
    <w:p w:rsidR="007471A2" w:rsidRDefault="007471A2" w:rsidP="004E60E3">
      <w:pPr>
        <w:ind w:left="1440" w:hanging="720"/>
      </w:pPr>
    </w:p>
    <w:p w:rsidR="004E60E3" w:rsidRDefault="004E60E3" w:rsidP="004E60E3">
      <w:pPr>
        <w:ind w:left="2160" w:hanging="720"/>
      </w:pPr>
      <w:r>
        <w:t>(</w:t>
      </w:r>
      <w:proofErr w:type="spellStart"/>
      <w:r>
        <w:t>i</w:t>
      </w:r>
      <w:proofErr w:type="spellEnd"/>
      <w:r>
        <w:t xml:space="preserve">) </w:t>
      </w:r>
      <w:r>
        <w:tab/>
        <w:t>Describe the approach;</w:t>
      </w:r>
    </w:p>
    <w:p w:rsidR="004E60E3" w:rsidRDefault="004E60E3" w:rsidP="004E60E3">
      <w:pPr>
        <w:ind w:left="2160" w:hanging="720"/>
      </w:pPr>
    </w:p>
    <w:p w:rsidR="004E60E3" w:rsidRDefault="004E60E3" w:rsidP="004E60E3">
      <w:pPr>
        <w:ind w:left="2160" w:hanging="720"/>
      </w:pPr>
      <w:r>
        <w:t xml:space="preserve">(ii) </w:t>
      </w:r>
      <w:r>
        <w:tab/>
        <w:t xml:space="preserve">Provide a cost breakdown showing </w:t>
      </w:r>
      <w:proofErr w:type="spellStart"/>
      <w:r>
        <w:t>SoCalGas</w:t>
      </w:r>
      <w:proofErr w:type="spellEnd"/>
      <w:r>
        <w:t>’ anticipated annual budget for FACTA red flag compliance work at APLs using the approach described in response to part (</w:t>
      </w:r>
      <w:proofErr w:type="spellStart"/>
      <w:r>
        <w:t>i</w:t>
      </w:r>
      <w:proofErr w:type="spellEnd"/>
      <w:r>
        <w:t>);</w:t>
      </w:r>
    </w:p>
    <w:p w:rsidR="004E60E3" w:rsidRDefault="004E60E3" w:rsidP="004E60E3">
      <w:pPr>
        <w:ind w:left="2160" w:hanging="720"/>
      </w:pPr>
    </w:p>
    <w:p w:rsidR="004E60E3" w:rsidRDefault="004E60E3" w:rsidP="004E60E3">
      <w:pPr>
        <w:ind w:left="2160" w:hanging="720"/>
      </w:pPr>
      <w:r>
        <w:t xml:space="preserve">(iii) </w:t>
      </w:r>
      <w:r>
        <w:tab/>
        <w:t xml:space="preserve">Identify when </w:t>
      </w:r>
      <w:proofErr w:type="spellStart"/>
      <w:r>
        <w:t>SoCalGas</w:t>
      </w:r>
      <w:proofErr w:type="spellEnd"/>
      <w:r>
        <w:t xml:space="preserve"> expects to implement this approach.</w:t>
      </w:r>
    </w:p>
    <w:p w:rsidR="004E60E3" w:rsidRDefault="004E60E3" w:rsidP="004E60E3">
      <w:pPr>
        <w:ind w:left="1440" w:hanging="720"/>
      </w:pPr>
      <w:r>
        <w:t xml:space="preserve"> </w:t>
      </w:r>
    </w:p>
    <w:p w:rsidR="00B95B80" w:rsidRDefault="00B95B80" w:rsidP="00B95B80">
      <w:pPr>
        <w:ind w:left="720"/>
      </w:pPr>
    </w:p>
    <w:p w:rsidR="009E50AD" w:rsidRDefault="009E50AD" w:rsidP="009E50AD"/>
    <w:sectPr w:rsidR="009E50AD" w:rsidSect="002739A8">
      <w:footerReference w:type="default" r:id="rId7"/>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5B2" w:rsidRDefault="000515B2">
      <w:r>
        <w:separator/>
      </w:r>
    </w:p>
  </w:endnote>
  <w:endnote w:type="continuationSeparator" w:id="0">
    <w:p w:rsidR="000515B2" w:rsidRDefault="00051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42" w:rsidRDefault="001B4C7D" w:rsidP="00ED1C96">
    <w:pPr>
      <w:pStyle w:val="Footer"/>
      <w:framePr w:wrap="around" w:vAnchor="text" w:hAnchor="margin" w:xAlign="center" w:y="1"/>
      <w:rPr>
        <w:rStyle w:val="PageNumber"/>
      </w:rPr>
    </w:pPr>
    <w:r>
      <w:rPr>
        <w:rStyle w:val="PageNumber"/>
      </w:rPr>
      <w:fldChar w:fldCharType="begin"/>
    </w:r>
    <w:r w:rsidR="00605842">
      <w:rPr>
        <w:rStyle w:val="PageNumber"/>
      </w:rPr>
      <w:instrText xml:space="preserve">PAGE  </w:instrText>
    </w:r>
    <w:r>
      <w:rPr>
        <w:rStyle w:val="PageNumber"/>
      </w:rPr>
      <w:fldChar w:fldCharType="separate"/>
    </w:r>
    <w:r w:rsidR="00E4373B">
      <w:rPr>
        <w:rStyle w:val="PageNumber"/>
        <w:noProof/>
      </w:rPr>
      <w:t>1</w:t>
    </w:r>
    <w:r>
      <w:rPr>
        <w:rStyle w:val="PageNumber"/>
      </w:rPr>
      <w:fldChar w:fldCharType="end"/>
    </w:r>
  </w:p>
  <w:p w:rsidR="00605842" w:rsidRDefault="006058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5B2" w:rsidRDefault="000515B2">
      <w:r>
        <w:separator/>
      </w:r>
    </w:p>
  </w:footnote>
  <w:footnote w:type="continuationSeparator" w:id="0">
    <w:p w:rsidR="000515B2" w:rsidRDefault="000515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418"/>
    <w:multiLevelType w:val="hybridMultilevel"/>
    <w:tmpl w:val="D93C83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556904"/>
    <w:multiLevelType w:val="hybridMultilevel"/>
    <w:tmpl w:val="39D8885C"/>
    <w:lvl w:ilvl="0" w:tplc="200A95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94572"/>
    <w:multiLevelType w:val="hybridMultilevel"/>
    <w:tmpl w:val="F14A5B34"/>
    <w:lvl w:ilvl="0" w:tplc="0409000F">
      <w:start w:val="1"/>
      <w:numFmt w:val="decimal"/>
      <w:lvlText w:val="%1."/>
      <w:lvlJc w:val="left"/>
      <w:pPr>
        <w:tabs>
          <w:tab w:val="num" w:pos="720"/>
        </w:tabs>
        <w:ind w:left="720" w:hanging="360"/>
      </w:pPr>
    </w:lvl>
    <w:lvl w:ilvl="1" w:tplc="849CCC1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DC548C"/>
    <w:multiLevelType w:val="hybridMultilevel"/>
    <w:tmpl w:val="8CC6FFF0"/>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C3715"/>
    <w:multiLevelType w:val="hybridMultilevel"/>
    <w:tmpl w:val="98604006"/>
    <w:lvl w:ilvl="0" w:tplc="0409000F">
      <w:start w:val="1"/>
      <w:numFmt w:val="decimal"/>
      <w:lvlText w:val="%1."/>
      <w:lvlJc w:val="left"/>
      <w:pPr>
        <w:tabs>
          <w:tab w:val="num" w:pos="720"/>
        </w:tabs>
        <w:ind w:left="720" w:hanging="360"/>
      </w:pPr>
    </w:lvl>
    <w:lvl w:ilvl="1" w:tplc="849CCC1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150ED4"/>
    <w:multiLevelType w:val="hybridMultilevel"/>
    <w:tmpl w:val="8CC6FFF0"/>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F26FF"/>
    <w:multiLevelType w:val="hybridMultilevel"/>
    <w:tmpl w:val="978668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0C2B9B"/>
    <w:multiLevelType w:val="hybridMultilevel"/>
    <w:tmpl w:val="AD8A3972"/>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F4E64"/>
    <w:multiLevelType w:val="hybridMultilevel"/>
    <w:tmpl w:val="4B6A96B8"/>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44D51"/>
    <w:multiLevelType w:val="hybridMultilevel"/>
    <w:tmpl w:val="AD8A3972"/>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EF34A8"/>
    <w:multiLevelType w:val="hybridMultilevel"/>
    <w:tmpl w:val="6DE8B7CE"/>
    <w:lvl w:ilvl="0" w:tplc="0409000F">
      <w:start w:val="1"/>
      <w:numFmt w:val="decimal"/>
      <w:lvlText w:val="%1."/>
      <w:lvlJc w:val="left"/>
      <w:pPr>
        <w:tabs>
          <w:tab w:val="num" w:pos="720"/>
        </w:tabs>
        <w:ind w:left="720" w:hanging="360"/>
      </w:pPr>
    </w:lvl>
    <w:lvl w:ilvl="1" w:tplc="849CCC1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B065E2"/>
    <w:multiLevelType w:val="hybridMultilevel"/>
    <w:tmpl w:val="015EC222"/>
    <w:lvl w:ilvl="0" w:tplc="E2DA62B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686BE8"/>
    <w:multiLevelType w:val="hybridMultilevel"/>
    <w:tmpl w:val="AD8A3972"/>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A3D79"/>
    <w:multiLevelType w:val="hybridMultilevel"/>
    <w:tmpl w:val="D99E1D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1675BB"/>
    <w:multiLevelType w:val="hybridMultilevel"/>
    <w:tmpl w:val="E6F00C5E"/>
    <w:lvl w:ilvl="0" w:tplc="0409000F">
      <w:start w:val="1"/>
      <w:numFmt w:val="decimal"/>
      <w:lvlText w:val="%1."/>
      <w:lvlJc w:val="left"/>
      <w:pPr>
        <w:tabs>
          <w:tab w:val="num" w:pos="720"/>
        </w:tabs>
        <w:ind w:left="720" w:hanging="360"/>
      </w:pPr>
    </w:lvl>
    <w:lvl w:ilvl="1" w:tplc="849CCC1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E61EF6"/>
    <w:multiLevelType w:val="hybridMultilevel"/>
    <w:tmpl w:val="DF0EB80C"/>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402F4D"/>
    <w:multiLevelType w:val="hybridMultilevel"/>
    <w:tmpl w:val="8CC6FFF0"/>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47922"/>
    <w:multiLevelType w:val="hybridMultilevel"/>
    <w:tmpl w:val="B3E84CD6"/>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B140A"/>
    <w:multiLevelType w:val="hybridMultilevel"/>
    <w:tmpl w:val="F028EE02"/>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F4452C"/>
    <w:multiLevelType w:val="hybridMultilevel"/>
    <w:tmpl w:val="D5D4C2A6"/>
    <w:lvl w:ilvl="0" w:tplc="0409000F">
      <w:start w:val="1"/>
      <w:numFmt w:val="decimal"/>
      <w:lvlText w:val="%1."/>
      <w:lvlJc w:val="left"/>
      <w:pPr>
        <w:tabs>
          <w:tab w:val="num" w:pos="720"/>
        </w:tabs>
        <w:ind w:left="720" w:hanging="360"/>
      </w:pPr>
    </w:lvl>
    <w:lvl w:ilvl="1" w:tplc="849CCC1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5954FA"/>
    <w:multiLevelType w:val="hybridMultilevel"/>
    <w:tmpl w:val="8C6CAFB6"/>
    <w:lvl w:ilvl="0" w:tplc="FFFFFFF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047DF5"/>
    <w:multiLevelType w:val="multilevel"/>
    <w:tmpl w:val="A5A094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19C12C6"/>
    <w:multiLevelType w:val="hybridMultilevel"/>
    <w:tmpl w:val="D794D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1A6DF7"/>
    <w:multiLevelType w:val="hybridMultilevel"/>
    <w:tmpl w:val="DDB652F2"/>
    <w:lvl w:ilvl="0" w:tplc="849CC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C382A"/>
    <w:multiLevelType w:val="hybridMultilevel"/>
    <w:tmpl w:val="E9FADFA8"/>
    <w:lvl w:ilvl="0" w:tplc="0409000F">
      <w:start w:val="1"/>
      <w:numFmt w:val="decimal"/>
      <w:lvlText w:val="%1."/>
      <w:lvlJc w:val="left"/>
      <w:pPr>
        <w:tabs>
          <w:tab w:val="num" w:pos="720"/>
        </w:tabs>
        <w:ind w:left="720" w:hanging="360"/>
      </w:pPr>
    </w:lvl>
    <w:lvl w:ilvl="1" w:tplc="849CCC1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37572F"/>
    <w:multiLevelType w:val="hybridMultilevel"/>
    <w:tmpl w:val="ED4E5F7A"/>
    <w:lvl w:ilvl="0" w:tplc="0409000F">
      <w:start w:val="1"/>
      <w:numFmt w:val="decimal"/>
      <w:lvlText w:val="%1."/>
      <w:lvlJc w:val="left"/>
      <w:pPr>
        <w:tabs>
          <w:tab w:val="num" w:pos="720"/>
        </w:tabs>
        <w:ind w:left="720" w:hanging="360"/>
      </w:pPr>
    </w:lvl>
    <w:lvl w:ilvl="1" w:tplc="849CCC1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0A52B0"/>
    <w:multiLevelType w:val="hybridMultilevel"/>
    <w:tmpl w:val="FAD8CC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1239A7"/>
    <w:multiLevelType w:val="hybridMultilevel"/>
    <w:tmpl w:val="E9C6F80C"/>
    <w:lvl w:ilvl="0" w:tplc="0409000F">
      <w:start w:val="1"/>
      <w:numFmt w:val="decimal"/>
      <w:lvlText w:val="%1."/>
      <w:lvlJc w:val="left"/>
      <w:pPr>
        <w:tabs>
          <w:tab w:val="num" w:pos="720"/>
        </w:tabs>
        <w:ind w:left="720" w:hanging="360"/>
      </w:pPr>
    </w:lvl>
    <w:lvl w:ilvl="1" w:tplc="849CCC1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E32FA6"/>
    <w:multiLevelType w:val="hybridMultilevel"/>
    <w:tmpl w:val="C75E0060"/>
    <w:lvl w:ilvl="0" w:tplc="0409000F">
      <w:start w:val="1"/>
      <w:numFmt w:val="decimal"/>
      <w:lvlText w:val="%1."/>
      <w:lvlJc w:val="left"/>
      <w:pPr>
        <w:tabs>
          <w:tab w:val="num" w:pos="720"/>
        </w:tabs>
        <w:ind w:left="720" w:hanging="360"/>
      </w:pPr>
    </w:lvl>
    <w:lvl w:ilvl="1" w:tplc="849CCC1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37207D"/>
    <w:multiLevelType w:val="hybridMultilevel"/>
    <w:tmpl w:val="AC60609E"/>
    <w:lvl w:ilvl="0" w:tplc="7E48F02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D0D4FB3"/>
    <w:multiLevelType w:val="hybridMultilevel"/>
    <w:tmpl w:val="A5A094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882969"/>
    <w:multiLevelType w:val="hybridMultilevel"/>
    <w:tmpl w:val="9FC862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B0528B"/>
    <w:multiLevelType w:val="singleLevel"/>
    <w:tmpl w:val="E532748C"/>
    <w:lvl w:ilvl="0">
      <w:start w:val="2"/>
      <w:numFmt w:val="lowerLetter"/>
      <w:lvlText w:val="%1."/>
      <w:lvlJc w:val="left"/>
      <w:pPr>
        <w:tabs>
          <w:tab w:val="num" w:pos="1152"/>
        </w:tabs>
        <w:ind w:left="1152" w:hanging="720"/>
      </w:pPr>
      <w:rPr>
        <w:rFonts w:hint="default"/>
      </w:rPr>
    </w:lvl>
  </w:abstractNum>
  <w:num w:numId="1">
    <w:abstractNumId w:val="20"/>
  </w:num>
  <w:num w:numId="2">
    <w:abstractNumId w:val="32"/>
  </w:num>
  <w:num w:numId="3">
    <w:abstractNumId w:val="24"/>
  </w:num>
  <w:num w:numId="4">
    <w:abstractNumId w:val="29"/>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9"/>
  </w:num>
  <w:num w:numId="8">
    <w:abstractNumId w:val="7"/>
  </w:num>
  <w:num w:numId="9">
    <w:abstractNumId w:val="12"/>
  </w:num>
  <w:num w:numId="10">
    <w:abstractNumId w:val="25"/>
  </w:num>
  <w:num w:numId="11">
    <w:abstractNumId w:val="19"/>
  </w:num>
  <w:num w:numId="12">
    <w:abstractNumId w:val="2"/>
  </w:num>
  <w:num w:numId="13">
    <w:abstractNumId w:val="14"/>
  </w:num>
  <w:num w:numId="14">
    <w:abstractNumId w:val="28"/>
  </w:num>
  <w:num w:numId="15">
    <w:abstractNumId w:val="10"/>
  </w:num>
  <w:num w:numId="16">
    <w:abstractNumId w:val="16"/>
  </w:num>
  <w:num w:numId="17">
    <w:abstractNumId w:val="5"/>
  </w:num>
  <w:num w:numId="18">
    <w:abstractNumId w:val="3"/>
  </w:num>
  <w:num w:numId="19">
    <w:abstractNumId w:val="17"/>
  </w:num>
  <w:num w:numId="20">
    <w:abstractNumId w:val="8"/>
  </w:num>
  <w:num w:numId="21">
    <w:abstractNumId w:val="23"/>
  </w:num>
  <w:num w:numId="22">
    <w:abstractNumId w:val="18"/>
  </w:num>
  <w:num w:numId="23">
    <w:abstractNumId w:val="15"/>
  </w:num>
  <w:num w:numId="24">
    <w:abstractNumId w:val="4"/>
  </w:num>
  <w:num w:numId="25">
    <w:abstractNumId w:val="13"/>
  </w:num>
  <w:num w:numId="26">
    <w:abstractNumId w:val="30"/>
  </w:num>
  <w:num w:numId="27">
    <w:abstractNumId w:val="21"/>
  </w:num>
  <w:num w:numId="28">
    <w:abstractNumId w:val="22"/>
  </w:num>
  <w:num w:numId="29">
    <w:abstractNumId w:val="26"/>
  </w:num>
  <w:num w:numId="30">
    <w:abstractNumId w:val="31"/>
  </w:num>
  <w:num w:numId="31">
    <w:abstractNumId w:val="11"/>
  </w:num>
  <w:num w:numId="32">
    <w:abstractNumId w:val="1"/>
  </w:num>
  <w:num w:numId="33">
    <w:abstractNumId w:val="6"/>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0BBB"/>
    <w:rsid w:val="0000039D"/>
    <w:rsid w:val="00026414"/>
    <w:rsid w:val="000515B2"/>
    <w:rsid w:val="0006354A"/>
    <w:rsid w:val="00072271"/>
    <w:rsid w:val="00072B66"/>
    <w:rsid w:val="00073DC3"/>
    <w:rsid w:val="000A100C"/>
    <w:rsid w:val="000A565C"/>
    <w:rsid w:val="000C5A5B"/>
    <w:rsid w:val="000D20B7"/>
    <w:rsid w:val="000D3721"/>
    <w:rsid w:val="000F228B"/>
    <w:rsid w:val="00100BBB"/>
    <w:rsid w:val="00127924"/>
    <w:rsid w:val="00130D64"/>
    <w:rsid w:val="0013259B"/>
    <w:rsid w:val="00144846"/>
    <w:rsid w:val="001636AF"/>
    <w:rsid w:val="001671B2"/>
    <w:rsid w:val="0017423F"/>
    <w:rsid w:val="001945CE"/>
    <w:rsid w:val="00195842"/>
    <w:rsid w:val="001A48E5"/>
    <w:rsid w:val="001A5029"/>
    <w:rsid w:val="001B4C7D"/>
    <w:rsid w:val="001B7ECF"/>
    <w:rsid w:val="001C1063"/>
    <w:rsid w:val="001C65E2"/>
    <w:rsid w:val="001D1B71"/>
    <w:rsid w:val="001E009E"/>
    <w:rsid w:val="001F31BA"/>
    <w:rsid w:val="00235DB3"/>
    <w:rsid w:val="00243A58"/>
    <w:rsid w:val="00253FBA"/>
    <w:rsid w:val="00265272"/>
    <w:rsid w:val="002739A8"/>
    <w:rsid w:val="002B3C31"/>
    <w:rsid w:val="002D5737"/>
    <w:rsid w:val="002E70CF"/>
    <w:rsid w:val="002F0AE4"/>
    <w:rsid w:val="002F0C48"/>
    <w:rsid w:val="00301012"/>
    <w:rsid w:val="00304611"/>
    <w:rsid w:val="00312247"/>
    <w:rsid w:val="0033040B"/>
    <w:rsid w:val="003337C0"/>
    <w:rsid w:val="00335161"/>
    <w:rsid w:val="003603D3"/>
    <w:rsid w:val="00366F69"/>
    <w:rsid w:val="003811E6"/>
    <w:rsid w:val="003968BE"/>
    <w:rsid w:val="003A23FD"/>
    <w:rsid w:val="003B541F"/>
    <w:rsid w:val="003C3A12"/>
    <w:rsid w:val="003D20CB"/>
    <w:rsid w:val="003E33E6"/>
    <w:rsid w:val="003E4FE5"/>
    <w:rsid w:val="003F5D41"/>
    <w:rsid w:val="003F7A21"/>
    <w:rsid w:val="00412613"/>
    <w:rsid w:val="00417121"/>
    <w:rsid w:val="0042263D"/>
    <w:rsid w:val="004230A9"/>
    <w:rsid w:val="004279CA"/>
    <w:rsid w:val="0044126E"/>
    <w:rsid w:val="00455E1B"/>
    <w:rsid w:val="004579E5"/>
    <w:rsid w:val="0048277E"/>
    <w:rsid w:val="004939D7"/>
    <w:rsid w:val="004A5A46"/>
    <w:rsid w:val="004C4026"/>
    <w:rsid w:val="004D01D5"/>
    <w:rsid w:val="004E17DF"/>
    <w:rsid w:val="004E60E3"/>
    <w:rsid w:val="004E6B0C"/>
    <w:rsid w:val="004F68F8"/>
    <w:rsid w:val="005178E8"/>
    <w:rsid w:val="00521571"/>
    <w:rsid w:val="005418A4"/>
    <w:rsid w:val="00542888"/>
    <w:rsid w:val="00575646"/>
    <w:rsid w:val="00586F69"/>
    <w:rsid w:val="005876C6"/>
    <w:rsid w:val="005C2AE3"/>
    <w:rsid w:val="005D4206"/>
    <w:rsid w:val="00605842"/>
    <w:rsid w:val="00607B7B"/>
    <w:rsid w:val="00617A4D"/>
    <w:rsid w:val="00630F89"/>
    <w:rsid w:val="0063133C"/>
    <w:rsid w:val="006400B4"/>
    <w:rsid w:val="0067051C"/>
    <w:rsid w:val="006A13C1"/>
    <w:rsid w:val="006A1C64"/>
    <w:rsid w:val="006C5B85"/>
    <w:rsid w:val="006F7F0C"/>
    <w:rsid w:val="00721D05"/>
    <w:rsid w:val="007301C6"/>
    <w:rsid w:val="00735492"/>
    <w:rsid w:val="007471A2"/>
    <w:rsid w:val="007A5456"/>
    <w:rsid w:val="007D2C5A"/>
    <w:rsid w:val="007F7EC8"/>
    <w:rsid w:val="008008F2"/>
    <w:rsid w:val="0082151D"/>
    <w:rsid w:val="00845232"/>
    <w:rsid w:val="00850905"/>
    <w:rsid w:val="008608EA"/>
    <w:rsid w:val="00870716"/>
    <w:rsid w:val="00872E48"/>
    <w:rsid w:val="00890BBB"/>
    <w:rsid w:val="008A09A3"/>
    <w:rsid w:val="008B7C22"/>
    <w:rsid w:val="008D3176"/>
    <w:rsid w:val="008F3F02"/>
    <w:rsid w:val="009338B6"/>
    <w:rsid w:val="00940D3C"/>
    <w:rsid w:val="00960FF4"/>
    <w:rsid w:val="00974C79"/>
    <w:rsid w:val="009805EF"/>
    <w:rsid w:val="0098142B"/>
    <w:rsid w:val="00984858"/>
    <w:rsid w:val="009B1504"/>
    <w:rsid w:val="009B3E26"/>
    <w:rsid w:val="009B624B"/>
    <w:rsid w:val="009C2F57"/>
    <w:rsid w:val="009C4AAC"/>
    <w:rsid w:val="009C6FD8"/>
    <w:rsid w:val="009D7536"/>
    <w:rsid w:val="009E50AD"/>
    <w:rsid w:val="009F0D36"/>
    <w:rsid w:val="009F5AB8"/>
    <w:rsid w:val="009F67DC"/>
    <w:rsid w:val="00A00659"/>
    <w:rsid w:val="00A2240D"/>
    <w:rsid w:val="00A52E90"/>
    <w:rsid w:val="00A66B32"/>
    <w:rsid w:val="00AA11C3"/>
    <w:rsid w:val="00AA2136"/>
    <w:rsid w:val="00AB2E4F"/>
    <w:rsid w:val="00AD4B96"/>
    <w:rsid w:val="00AD61B9"/>
    <w:rsid w:val="00AD6FBF"/>
    <w:rsid w:val="00AE53F9"/>
    <w:rsid w:val="00B14C93"/>
    <w:rsid w:val="00B22962"/>
    <w:rsid w:val="00B314B9"/>
    <w:rsid w:val="00B432F4"/>
    <w:rsid w:val="00B46F04"/>
    <w:rsid w:val="00B5691A"/>
    <w:rsid w:val="00B6631B"/>
    <w:rsid w:val="00B75E8D"/>
    <w:rsid w:val="00B77ECB"/>
    <w:rsid w:val="00B90FA2"/>
    <w:rsid w:val="00B93813"/>
    <w:rsid w:val="00B95B80"/>
    <w:rsid w:val="00BA411D"/>
    <w:rsid w:val="00BB047F"/>
    <w:rsid w:val="00BB3AC1"/>
    <w:rsid w:val="00BB6225"/>
    <w:rsid w:val="00BC1E0A"/>
    <w:rsid w:val="00BD07F0"/>
    <w:rsid w:val="00BD0F87"/>
    <w:rsid w:val="00BD43CE"/>
    <w:rsid w:val="00BD59B4"/>
    <w:rsid w:val="00BD6F17"/>
    <w:rsid w:val="00BE181A"/>
    <w:rsid w:val="00C02EBB"/>
    <w:rsid w:val="00C03E62"/>
    <w:rsid w:val="00C73F31"/>
    <w:rsid w:val="00C83CD2"/>
    <w:rsid w:val="00C903E1"/>
    <w:rsid w:val="00CA60F1"/>
    <w:rsid w:val="00CB7493"/>
    <w:rsid w:val="00CC1931"/>
    <w:rsid w:val="00CD41ED"/>
    <w:rsid w:val="00CD4919"/>
    <w:rsid w:val="00CD6CB9"/>
    <w:rsid w:val="00CE3270"/>
    <w:rsid w:val="00D326E0"/>
    <w:rsid w:val="00D463B4"/>
    <w:rsid w:val="00D47A94"/>
    <w:rsid w:val="00D742A9"/>
    <w:rsid w:val="00D774D9"/>
    <w:rsid w:val="00DA50C9"/>
    <w:rsid w:val="00DA7DA3"/>
    <w:rsid w:val="00DB43AA"/>
    <w:rsid w:val="00DB75CD"/>
    <w:rsid w:val="00DC57C4"/>
    <w:rsid w:val="00DE7485"/>
    <w:rsid w:val="00DF47DD"/>
    <w:rsid w:val="00E059EE"/>
    <w:rsid w:val="00E13645"/>
    <w:rsid w:val="00E13F00"/>
    <w:rsid w:val="00E16092"/>
    <w:rsid w:val="00E251D0"/>
    <w:rsid w:val="00E27AB3"/>
    <w:rsid w:val="00E31C28"/>
    <w:rsid w:val="00E336EB"/>
    <w:rsid w:val="00E40EBA"/>
    <w:rsid w:val="00E4373B"/>
    <w:rsid w:val="00E44878"/>
    <w:rsid w:val="00E475C2"/>
    <w:rsid w:val="00E5041E"/>
    <w:rsid w:val="00E60335"/>
    <w:rsid w:val="00E75125"/>
    <w:rsid w:val="00EA14A4"/>
    <w:rsid w:val="00ED1C96"/>
    <w:rsid w:val="00EE657E"/>
    <w:rsid w:val="00F1483A"/>
    <w:rsid w:val="00F21AD3"/>
    <w:rsid w:val="00F317E3"/>
    <w:rsid w:val="00F5389C"/>
    <w:rsid w:val="00F5781B"/>
    <w:rsid w:val="00F877F4"/>
    <w:rsid w:val="00FC2455"/>
    <w:rsid w:val="00FE3C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1ED"/>
    <w:rPr>
      <w:sz w:val="24"/>
      <w:szCs w:val="24"/>
    </w:rPr>
  </w:style>
  <w:style w:type="paragraph" w:styleId="Heading1">
    <w:name w:val="heading 1"/>
    <w:basedOn w:val="Normal"/>
    <w:next w:val="Normal"/>
    <w:qFormat/>
    <w:rsid w:val="00EE1438"/>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47DD"/>
    <w:rPr>
      <w:color w:val="0000FF"/>
      <w:u w:val="single"/>
    </w:rPr>
  </w:style>
  <w:style w:type="paragraph" w:styleId="BalloonText">
    <w:name w:val="Balloon Text"/>
    <w:basedOn w:val="Normal"/>
    <w:semiHidden/>
    <w:rsid w:val="00E251D0"/>
    <w:rPr>
      <w:rFonts w:ascii="Tahoma" w:hAnsi="Tahoma" w:cs="Tahoma"/>
      <w:sz w:val="16"/>
      <w:szCs w:val="16"/>
    </w:rPr>
  </w:style>
  <w:style w:type="paragraph" w:styleId="Footer">
    <w:name w:val="footer"/>
    <w:basedOn w:val="Normal"/>
    <w:rsid w:val="002739A8"/>
    <w:pPr>
      <w:tabs>
        <w:tab w:val="center" w:pos="4320"/>
        <w:tab w:val="right" w:pos="8640"/>
      </w:tabs>
    </w:pPr>
  </w:style>
  <w:style w:type="character" w:styleId="PageNumber">
    <w:name w:val="page number"/>
    <w:basedOn w:val="DefaultParagraphFont"/>
    <w:rsid w:val="002739A8"/>
  </w:style>
  <w:style w:type="character" w:styleId="CommentReference">
    <w:name w:val="annotation reference"/>
    <w:basedOn w:val="DefaultParagraphFont"/>
    <w:semiHidden/>
    <w:rsid w:val="009338B6"/>
    <w:rPr>
      <w:sz w:val="16"/>
      <w:szCs w:val="16"/>
    </w:rPr>
  </w:style>
  <w:style w:type="paragraph" w:styleId="CommentText">
    <w:name w:val="annotation text"/>
    <w:basedOn w:val="Normal"/>
    <w:semiHidden/>
    <w:rsid w:val="009338B6"/>
    <w:rPr>
      <w:sz w:val="20"/>
      <w:szCs w:val="20"/>
    </w:rPr>
  </w:style>
  <w:style w:type="paragraph" w:styleId="CommentSubject">
    <w:name w:val="annotation subject"/>
    <w:basedOn w:val="CommentText"/>
    <w:next w:val="CommentText"/>
    <w:semiHidden/>
    <w:rsid w:val="009338B6"/>
    <w:rPr>
      <w:b/>
      <w:bCs/>
    </w:rPr>
  </w:style>
  <w:style w:type="paragraph" w:styleId="Header">
    <w:name w:val="header"/>
    <w:basedOn w:val="Normal"/>
    <w:link w:val="HeaderChar"/>
    <w:rsid w:val="00BB3AC1"/>
    <w:pPr>
      <w:tabs>
        <w:tab w:val="center" w:pos="4680"/>
        <w:tab w:val="right" w:pos="9360"/>
      </w:tabs>
    </w:pPr>
  </w:style>
  <w:style w:type="character" w:customStyle="1" w:styleId="HeaderChar">
    <w:name w:val="Header Char"/>
    <w:basedOn w:val="DefaultParagraphFont"/>
    <w:link w:val="Header"/>
    <w:rsid w:val="00BB3AC1"/>
    <w:rPr>
      <w:sz w:val="24"/>
      <w:szCs w:val="24"/>
    </w:rPr>
  </w:style>
  <w:style w:type="paragraph" w:styleId="HTMLPreformatted">
    <w:name w:val="HTML Preformatted"/>
    <w:basedOn w:val="Normal"/>
    <w:link w:val="HTMLPreformattedChar"/>
    <w:uiPriority w:val="99"/>
    <w:unhideWhenUsed/>
    <w:rsid w:val="0060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0584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7389409">
      <w:bodyDiv w:val="1"/>
      <w:marLeft w:val="0"/>
      <w:marRight w:val="0"/>
      <w:marTop w:val="0"/>
      <w:marBottom w:val="0"/>
      <w:divBdr>
        <w:top w:val="none" w:sz="0" w:space="0" w:color="auto"/>
        <w:left w:val="none" w:sz="0" w:space="0" w:color="auto"/>
        <w:bottom w:val="none" w:sz="0" w:space="0" w:color="auto"/>
        <w:right w:val="none" w:sz="0" w:space="0" w:color="auto"/>
      </w:divBdr>
    </w:div>
    <w:div w:id="161360593">
      <w:bodyDiv w:val="1"/>
      <w:marLeft w:val="0"/>
      <w:marRight w:val="0"/>
      <w:marTop w:val="0"/>
      <w:marBottom w:val="0"/>
      <w:divBdr>
        <w:top w:val="none" w:sz="0" w:space="0" w:color="auto"/>
        <w:left w:val="none" w:sz="0" w:space="0" w:color="auto"/>
        <w:bottom w:val="none" w:sz="0" w:space="0" w:color="auto"/>
        <w:right w:val="none" w:sz="0" w:space="0" w:color="auto"/>
      </w:divBdr>
    </w:div>
    <w:div w:id="366219160">
      <w:bodyDiv w:val="1"/>
      <w:marLeft w:val="0"/>
      <w:marRight w:val="0"/>
      <w:marTop w:val="0"/>
      <w:marBottom w:val="0"/>
      <w:divBdr>
        <w:top w:val="none" w:sz="0" w:space="0" w:color="auto"/>
        <w:left w:val="none" w:sz="0" w:space="0" w:color="auto"/>
        <w:bottom w:val="none" w:sz="0" w:space="0" w:color="auto"/>
        <w:right w:val="none" w:sz="0" w:space="0" w:color="auto"/>
      </w:divBdr>
    </w:div>
    <w:div w:id="590967717">
      <w:bodyDiv w:val="1"/>
      <w:marLeft w:val="0"/>
      <w:marRight w:val="0"/>
      <w:marTop w:val="0"/>
      <w:marBottom w:val="0"/>
      <w:divBdr>
        <w:top w:val="none" w:sz="0" w:space="0" w:color="auto"/>
        <w:left w:val="none" w:sz="0" w:space="0" w:color="auto"/>
        <w:bottom w:val="none" w:sz="0" w:space="0" w:color="auto"/>
        <w:right w:val="none" w:sz="0" w:space="0" w:color="auto"/>
      </w:divBdr>
    </w:div>
    <w:div w:id="723871350">
      <w:bodyDiv w:val="1"/>
      <w:marLeft w:val="0"/>
      <w:marRight w:val="0"/>
      <w:marTop w:val="0"/>
      <w:marBottom w:val="0"/>
      <w:divBdr>
        <w:top w:val="none" w:sz="0" w:space="0" w:color="auto"/>
        <w:left w:val="none" w:sz="0" w:space="0" w:color="auto"/>
        <w:bottom w:val="none" w:sz="0" w:space="0" w:color="auto"/>
        <w:right w:val="none" w:sz="0" w:space="0" w:color="auto"/>
      </w:divBdr>
    </w:div>
    <w:div w:id="1334606655">
      <w:bodyDiv w:val="1"/>
      <w:marLeft w:val="0"/>
      <w:marRight w:val="0"/>
      <w:marTop w:val="0"/>
      <w:marBottom w:val="0"/>
      <w:divBdr>
        <w:top w:val="none" w:sz="0" w:space="0" w:color="auto"/>
        <w:left w:val="none" w:sz="0" w:space="0" w:color="auto"/>
        <w:bottom w:val="none" w:sz="0" w:space="0" w:color="auto"/>
        <w:right w:val="none" w:sz="0" w:space="0" w:color="auto"/>
      </w:divBdr>
    </w:div>
    <w:div w:id="1520967050">
      <w:bodyDiv w:val="1"/>
      <w:marLeft w:val="0"/>
      <w:marRight w:val="0"/>
      <w:marTop w:val="0"/>
      <w:marBottom w:val="0"/>
      <w:divBdr>
        <w:top w:val="none" w:sz="0" w:space="0" w:color="auto"/>
        <w:left w:val="none" w:sz="0" w:space="0" w:color="auto"/>
        <w:bottom w:val="none" w:sz="0" w:space="0" w:color="auto"/>
        <w:right w:val="none" w:sz="0" w:space="0" w:color="auto"/>
      </w:divBdr>
    </w:div>
    <w:div w:id="1821997222">
      <w:bodyDiv w:val="1"/>
      <w:marLeft w:val="0"/>
      <w:marRight w:val="0"/>
      <w:marTop w:val="0"/>
      <w:marBottom w:val="0"/>
      <w:divBdr>
        <w:top w:val="none" w:sz="0" w:space="0" w:color="auto"/>
        <w:left w:val="none" w:sz="0" w:space="0" w:color="auto"/>
        <w:bottom w:val="none" w:sz="0" w:space="0" w:color="auto"/>
        <w:right w:val="none" w:sz="0" w:space="0" w:color="auto"/>
      </w:divBdr>
    </w:div>
    <w:div w:id="192918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vt:lpstr>
    </vt:vector>
  </TitlesOfParts>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dc:title>
  <dc:subject/>
  <dc:creator>Bill Marcus</dc:creator>
  <cp:keywords/>
  <cp:lastModifiedBy>Hayley Goodson</cp:lastModifiedBy>
  <cp:revision>10</cp:revision>
  <dcterms:created xsi:type="dcterms:W3CDTF">2011-12-05T22:25:00Z</dcterms:created>
  <dcterms:modified xsi:type="dcterms:W3CDTF">2011-12-07T23:24:00Z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AIL_MSG_ID1">
    <vt:lpwstr>oFAAuCENMj9rVELWxKyEzno/lO2Qpx3sJLcQja5m9fiZbeB96tuKsW7g9c8x9/ZZw263fGxvZxAaZaoA
z4I5TU5KnXhqKGopYHkq0+QrAlbFe8KJgsPFSajmUjeTLVGUH2sTEvhCSksQ86vzRjIHYd3jfOV3
aml4PYKH698Ypj/NoRZwmYyYwuE5qdRd+L+ujgNGj4d2edhG+QI0bGZ84FEHLFwwfalnis5R+gb1
mvoO8F9p6zNuXXWXi</vt:lpwstr>
  </property>
  <property fmtid="{D5CDD505-2E9C-101B-9397-08002B2CF9AE}" pid="4" name="MAIL_MSG_ID2">
    <vt:lpwstr>D3J/rSuxQteDMq11XSlDEhsdCyKZ0+uJPRPr4/5Jfnd17GQqaMe/KMadYQo
M+bPa4ch41dUnMn2h32dMbbKs9SxHzmrRkaWR4rL2KoKHXO2</vt:lpwstr>
  </property>
  <property fmtid="{D5CDD505-2E9C-101B-9397-08002B2CF9AE}" pid="5" name="RESPONSE_SENDER_NAME">
    <vt:lpwstr>sAAAGYoQX4c3X/JPN1rKTGEXXfLUhPoZCwN7xvsxVZ3yzwY=</vt:lpwstr>
  </property>
  <property fmtid="{D5CDD505-2E9C-101B-9397-08002B2CF9AE}" pid="6" name="EMAIL_OWNER_ADDRESS">
    <vt:lpwstr>ABAAmJ+7jnJ2eOWQzQWIAT2SIh/QpaDvDAeCzcuCtEx3ZioYnMJ0LxspkYdZArC1+7jD</vt:lpwstr>
  </property>
</Properties>
</file>