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9E8" w:rsidRPr="00F759E8" w:rsidRDefault="00DB073E" w:rsidP="005C6E7A">
      <w:pPr>
        <w:rPr>
          <w:rFonts w:ascii="Arial" w:hAnsi="Arial" w:cs="Arial"/>
          <w:b/>
          <w:u w:val="single"/>
        </w:rPr>
      </w:pPr>
      <w:r>
        <w:rPr>
          <w:rFonts w:ascii="Arial" w:hAnsi="Arial" w:cs="Arial"/>
          <w:b/>
          <w:u w:val="single"/>
        </w:rPr>
        <w:t xml:space="preserve"> </w:t>
      </w:r>
      <w:r w:rsidR="00F759E8" w:rsidRPr="00F759E8">
        <w:rPr>
          <w:rFonts w:ascii="Arial" w:hAnsi="Arial" w:cs="Arial"/>
          <w:b/>
          <w:u w:val="single"/>
        </w:rPr>
        <w:t>QUESTION 1:</w:t>
      </w:r>
    </w:p>
    <w:p w:rsidR="005F4287" w:rsidRPr="0031141C" w:rsidRDefault="005F4287" w:rsidP="005C6E7A">
      <w:pPr>
        <w:rPr>
          <w:rFonts w:ascii="Arial" w:hAnsi="Arial" w:cs="Arial"/>
        </w:rPr>
      </w:pPr>
    </w:p>
    <w:p w:rsidR="00380D6F" w:rsidRPr="00380D6F" w:rsidRDefault="00380D6F" w:rsidP="00380D6F">
      <w:pPr>
        <w:autoSpaceDE w:val="0"/>
        <w:autoSpaceDN w:val="0"/>
        <w:adjustRightInd w:val="0"/>
        <w:rPr>
          <w:rFonts w:ascii="Arial" w:hAnsi="Arial" w:cs="Arial"/>
        </w:rPr>
      </w:pPr>
      <w:r w:rsidRPr="00380D6F">
        <w:rPr>
          <w:rFonts w:ascii="Arial" w:hAnsi="Arial" w:cs="Arial"/>
        </w:rPr>
        <w:t xml:space="preserve">In Response 3 to ORA data request ORA-DR-02, Sempra stated “Table 3 does not represent </w:t>
      </w:r>
      <w:proofErr w:type="spellStart"/>
      <w:r w:rsidRPr="00380D6F">
        <w:rPr>
          <w:rFonts w:ascii="Arial" w:hAnsi="Arial" w:cs="Arial"/>
        </w:rPr>
        <w:t>a‘reduction</w:t>
      </w:r>
      <w:proofErr w:type="spellEnd"/>
      <w:r w:rsidRPr="00380D6F">
        <w:rPr>
          <w:rFonts w:ascii="Arial" w:hAnsi="Arial" w:cs="Arial"/>
        </w:rPr>
        <w:t xml:space="preserve">’ in core firm withdrawal rights. It represents a recognition that 3 </w:t>
      </w:r>
      <w:proofErr w:type="spellStart"/>
      <w:r w:rsidRPr="00380D6F">
        <w:rPr>
          <w:rFonts w:ascii="Arial" w:hAnsi="Arial" w:cs="Arial"/>
        </w:rPr>
        <w:t>Bcfd</w:t>
      </w:r>
      <w:proofErr w:type="spellEnd"/>
      <w:r w:rsidRPr="00380D6F">
        <w:rPr>
          <w:rFonts w:ascii="Arial" w:hAnsi="Arial" w:cs="Arial"/>
        </w:rPr>
        <w:t xml:space="preserve"> of firm</w:t>
      </w:r>
      <w:r>
        <w:rPr>
          <w:rFonts w:ascii="Arial" w:hAnsi="Arial" w:cs="Arial"/>
        </w:rPr>
        <w:t xml:space="preserve"> </w:t>
      </w:r>
      <w:r w:rsidRPr="00380D6F">
        <w:rPr>
          <w:rFonts w:ascii="Arial" w:hAnsi="Arial" w:cs="Arial"/>
        </w:rPr>
        <w:t xml:space="preserve">withdrawal rights has not been available throughout the summer and that </w:t>
      </w:r>
      <w:proofErr w:type="spellStart"/>
      <w:r w:rsidRPr="00380D6F">
        <w:rPr>
          <w:rFonts w:ascii="Arial" w:hAnsi="Arial" w:cs="Arial"/>
        </w:rPr>
        <w:t>prorationing</w:t>
      </w:r>
      <w:proofErr w:type="spellEnd"/>
      <w:r w:rsidRPr="00380D6F">
        <w:rPr>
          <w:rFonts w:ascii="Arial" w:hAnsi="Arial" w:cs="Arial"/>
        </w:rPr>
        <w:t xml:space="preserve"> of firm</w:t>
      </w:r>
      <w:r>
        <w:rPr>
          <w:rFonts w:ascii="Arial" w:hAnsi="Arial" w:cs="Arial"/>
        </w:rPr>
        <w:t xml:space="preserve"> </w:t>
      </w:r>
      <w:r w:rsidRPr="00380D6F">
        <w:rPr>
          <w:rFonts w:ascii="Arial" w:hAnsi="Arial" w:cs="Arial"/>
        </w:rPr>
        <w:t>withdrawal would likely have occurred had the core tried to nominate its full withdrawal rights in the summer period”.</w:t>
      </w:r>
    </w:p>
    <w:p w:rsidR="00380D6F" w:rsidRPr="00380D6F" w:rsidRDefault="00380D6F" w:rsidP="00380D6F">
      <w:pPr>
        <w:autoSpaceDE w:val="0"/>
        <w:autoSpaceDN w:val="0"/>
        <w:adjustRightInd w:val="0"/>
        <w:rPr>
          <w:rFonts w:ascii="Arial" w:hAnsi="Arial" w:cs="Arial"/>
        </w:rPr>
      </w:pPr>
    </w:p>
    <w:p w:rsidR="00380D6F" w:rsidRPr="00380D6F" w:rsidRDefault="00380D6F" w:rsidP="00380D6F">
      <w:pPr>
        <w:autoSpaceDE w:val="0"/>
        <w:autoSpaceDN w:val="0"/>
        <w:adjustRightInd w:val="0"/>
        <w:rPr>
          <w:rFonts w:ascii="Arial" w:hAnsi="Arial" w:cs="Arial"/>
        </w:rPr>
      </w:pPr>
      <w:proofErr w:type="gramStart"/>
      <w:r w:rsidRPr="00380D6F">
        <w:rPr>
          <w:rFonts w:ascii="Arial" w:hAnsi="Arial" w:cs="Arial"/>
        </w:rPr>
        <w:t>a. Does</w:t>
      </w:r>
      <w:proofErr w:type="gramEnd"/>
      <w:r w:rsidRPr="00380D6F">
        <w:rPr>
          <w:rFonts w:ascii="Arial" w:hAnsi="Arial" w:cs="Arial"/>
        </w:rPr>
        <w:t xml:space="preserve"> SoCalGas/SDG&amp;E’s response mean that core did not nominate its full withdrawal</w:t>
      </w:r>
      <w:r>
        <w:rPr>
          <w:rFonts w:ascii="Arial" w:hAnsi="Arial" w:cs="Arial"/>
        </w:rPr>
        <w:t xml:space="preserve"> </w:t>
      </w:r>
      <w:r w:rsidRPr="00380D6F">
        <w:rPr>
          <w:rFonts w:ascii="Arial" w:hAnsi="Arial" w:cs="Arial"/>
        </w:rPr>
        <w:t>rights in the summer period referenced above?</w:t>
      </w:r>
    </w:p>
    <w:p w:rsidR="00380D6F" w:rsidRPr="00380D6F" w:rsidRDefault="00380D6F" w:rsidP="00380D6F">
      <w:pPr>
        <w:autoSpaceDE w:val="0"/>
        <w:autoSpaceDN w:val="0"/>
        <w:adjustRightInd w:val="0"/>
        <w:rPr>
          <w:rFonts w:ascii="Arial" w:hAnsi="Arial" w:cs="Arial"/>
        </w:rPr>
      </w:pPr>
    </w:p>
    <w:p w:rsidR="00380D6F" w:rsidRPr="00380D6F" w:rsidRDefault="00380D6F" w:rsidP="00380D6F">
      <w:pPr>
        <w:autoSpaceDE w:val="0"/>
        <w:autoSpaceDN w:val="0"/>
        <w:adjustRightInd w:val="0"/>
        <w:rPr>
          <w:rFonts w:ascii="Arial" w:hAnsi="Arial" w:cs="Arial"/>
        </w:rPr>
      </w:pPr>
      <w:r w:rsidRPr="00380D6F">
        <w:rPr>
          <w:rFonts w:ascii="Arial" w:hAnsi="Arial" w:cs="Arial"/>
        </w:rPr>
        <w:t>b. Please provide the five dates in this summer period in which core nominated withdrawal</w:t>
      </w:r>
      <w:r>
        <w:rPr>
          <w:rFonts w:ascii="Arial" w:hAnsi="Arial" w:cs="Arial"/>
        </w:rPr>
        <w:t xml:space="preserve"> </w:t>
      </w:r>
      <w:r w:rsidRPr="00380D6F">
        <w:rPr>
          <w:rFonts w:ascii="Arial" w:hAnsi="Arial" w:cs="Arial"/>
        </w:rPr>
        <w:t>rights closest to its full withdrawal rights? For each date, please identify the amount of</w:t>
      </w:r>
      <w:r>
        <w:rPr>
          <w:rFonts w:ascii="Arial" w:hAnsi="Arial" w:cs="Arial"/>
        </w:rPr>
        <w:t xml:space="preserve"> </w:t>
      </w:r>
      <w:r w:rsidRPr="00380D6F">
        <w:rPr>
          <w:rFonts w:ascii="Arial" w:hAnsi="Arial" w:cs="Arial"/>
        </w:rPr>
        <w:t>withdrawal rights core nominated. Please provide supporting information that shows the</w:t>
      </w:r>
      <w:r>
        <w:rPr>
          <w:rFonts w:ascii="Arial" w:hAnsi="Arial" w:cs="Arial"/>
        </w:rPr>
        <w:t xml:space="preserve"> </w:t>
      </w:r>
      <w:r w:rsidRPr="00380D6F">
        <w:rPr>
          <w:rFonts w:ascii="Arial" w:hAnsi="Arial" w:cs="Arial"/>
        </w:rPr>
        <w:t>amount of withdrawal rights core nominated.</w:t>
      </w:r>
    </w:p>
    <w:p w:rsidR="00380D6F" w:rsidRPr="00380D6F" w:rsidRDefault="00380D6F" w:rsidP="00380D6F">
      <w:pPr>
        <w:autoSpaceDE w:val="0"/>
        <w:autoSpaceDN w:val="0"/>
        <w:adjustRightInd w:val="0"/>
        <w:rPr>
          <w:rFonts w:ascii="Arial" w:hAnsi="Arial" w:cs="Arial"/>
        </w:rPr>
      </w:pPr>
    </w:p>
    <w:p w:rsidR="00380D6F" w:rsidRPr="00380D6F" w:rsidRDefault="00380D6F" w:rsidP="00380D6F">
      <w:pPr>
        <w:autoSpaceDE w:val="0"/>
        <w:autoSpaceDN w:val="0"/>
        <w:adjustRightInd w:val="0"/>
        <w:rPr>
          <w:rFonts w:ascii="Arial" w:hAnsi="Arial" w:cs="Arial"/>
        </w:rPr>
      </w:pPr>
      <w:proofErr w:type="gramStart"/>
      <w:r w:rsidRPr="00380D6F">
        <w:rPr>
          <w:rFonts w:ascii="Arial" w:hAnsi="Arial" w:cs="Arial"/>
        </w:rPr>
        <w:t>c</w:t>
      </w:r>
      <w:proofErr w:type="gramEnd"/>
      <w:r w:rsidRPr="00380D6F">
        <w:rPr>
          <w:rFonts w:ascii="Arial" w:hAnsi="Arial" w:cs="Arial"/>
        </w:rPr>
        <w:t>. In the last 10 years, has core tried to nominate its full withdrawal rights in the summer</w:t>
      </w:r>
    </w:p>
    <w:p w:rsidR="00380D6F" w:rsidRPr="00380D6F" w:rsidRDefault="00380D6F" w:rsidP="00380D6F">
      <w:pPr>
        <w:autoSpaceDE w:val="0"/>
        <w:autoSpaceDN w:val="0"/>
        <w:adjustRightInd w:val="0"/>
        <w:rPr>
          <w:rFonts w:ascii="Arial" w:hAnsi="Arial" w:cs="Arial"/>
        </w:rPr>
      </w:pPr>
      <w:proofErr w:type="gramStart"/>
      <w:r w:rsidRPr="00380D6F">
        <w:rPr>
          <w:rFonts w:ascii="Arial" w:hAnsi="Arial" w:cs="Arial"/>
        </w:rPr>
        <w:t>period</w:t>
      </w:r>
      <w:proofErr w:type="gramEnd"/>
      <w:r w:rsidRPr="00380D6F">
        <w:rPr>
          <w:rFonts w:ascii="Arial" w:hAnsi="Arial" w:cs="Arial"/>
        </w:rPr>
        <w:t xml:space="preserve">? </w:t>
      </w:r>
      <w:proofErr w:type="gramStart"/>
      <w:r w:rsidRPr="00380D6F">
        <w:rPr>
          <w:rFonts w:ascii="Arial" w:hAnsi="Arial" w:cs="Arial"/>
        </w:rPr>
        <w:t>If so, when?</w:t>
      </w:r>
      <w:proofErr w:type="gramEnd"/>
    </w:p>
    <w:p w:rsidR="00380D6F" w:rsidRPr="00380D6F" w:rsidRDefault="00380D6F" w:rsidP="00380D6F">
      <w:pPr>
        <w:autoSpaceDE w:val="0"/>
        <w:autoSpaceDN w:val="0"/>
        <w:adjustRightInd w:val="0"/>
        <w:rPr>
          <w:rFonts w:ascii="Arial" w:hAnsi="Arial" w:cs="Arial"/>
        </w:rPr>
      </w:pPr>
    </w:p>
    <w:p w:rsidR="00380D6F" w:rsidRPr="00380D6F" w:rsidRDefault="00380D6F" w:rsidP="00380D6F">
      <w:pPr>
        <w:autoSpaceDE w:val="0"/>
        <w:autoSpaceDN w:val="0"/>
        <w:adjustRightInd w:val="0"/>
        <w:rPr>
          <w:rFonts w:ascii="Arial" w:hAnsi="Arial" w:cs="Arial"/>
        </w:rPr>
      </w:pPr>
      <w:r w:rsidRPr="00380D6F">
        <w:rPr>
          <w:rFonts w:ascii="Arial" w:hAnsi="Arial" w:cs="Arial"/>
        </w:rPr>
        <w:t>d. If the answer to part (c) is yes, please provide a list of the cases in which core tried to</w:t>
      </w:r>
    </w:p>
    <w:p w:rsidR="00380D6F" w:rsidRPr="00380D6F" w:rsidRDefault="00380D6F" w:rsidP="00380D6F">
      <w:pPr>
        <w:autoSpaceDE w:val="0"/>
        <w:autoSpaceDN w:val="0"/>
        <w:adjustRightInd w:val="0"/>
        <w:rPr>
          <w:rFonts w:ascii="Arial" w:hAnsi="Arial" w:cs="Arial"/>
        </w:rPr>
      </w:pPr>
      <w:proofErr w:type="gramStart"/>
      <w:r w:rsidRPr="00380D6F">
        <w:rPr>
          <w:rFonts w:ascii="Arial" w:hAnsi="Arial" w:cs="Arial"/>
        </w:rPr>
        <w:t>nominate</w:t>
      </w:r>
      <w:proofErr w:type="gramEnd"/>
      <w:r w:rsidRPr="00380D6F">
        <w:rPr>
          <w:rFonts w:ascii="Arial" w:hAnsi="Arial" w:cs="Arial"/>
        </w:rPr>
        <w:t xml:space="preserve"> its full withdrawal rights in the summer period but was </w:t>
      </w:r>
      <w:proofErr w:type="spellStart"/>
      <w:r w:rsidRPr="00380D6F">
        <w:rPr>
          <w:rFonts w:ascii="Arial" w:hAnsi="Arial" w:cs="Arial"/>
        </w:rPr>
        <w:t>prorationed</w:t>
      </w:r>
      <w:proofErr w:type="spellEnd"/>
      <w:r w:rsidRPr="00380D6F">
        <w:rPr>
          <w:rFonts w:ascii="Arial" w:hAnsi="Arial" w:cs="Arial"/>
        </w:rPr>
        <w:t xml:space="preserve"> them.</w:t>
      </w:r>
    </w:p>
    <w:p w:rsidR="00380D6F" w:rsidRPr="00380D6F" w:rsidRDefault="00380D6F" w:rsidP="00380D6F">
      <w:pPr>
        <w:autoSpaceDE w:val="0"/>
        <w:autoSpaceDN w:val="0"/>
        <w:adjustRightInd w:val="0"/>
        <w:rPr>
          <w:rFonts w:ascii="Arial" w:hAnsi="Arial" w:cs="Arial"/>
        </w:rPr>
      </w:pPr>
    </w:p>
    <w:p w:rsidR="00924832" w:rsidRPr="00380D6F" w:rsidRDefault="00380D6F" w:rsidP="00380D6F">
      <w:pPr>
        <w:autoSpaceDE w:val="0"/>
        <w:autoSpaceDN w:val="0"/>
        <w:adjustRightInd w:val="0"/>
        <w:rPr>
          <w:rFonts w:ascii="Arial" w:hAnsi="Arial" w:cs="Arial"/>
        </w:rPr>
      </w:pPr>
      <w:r w:rsidRPr="00380D6F">
        <w:rPr>
          <w:rFonts w:ascii="Arial" w:hAnsi="Arial" w:cs="Arial"/>
        </w:rPr>
        <w:t>e. For each instance provided in response to part (d), please provide the total full withdrawal</w:t>
      </w:r>
      <w:r>
        <w:rPr>
          <w:rFonts w:ascii="Arial" w:hAnsi="Arial" w:cs="Arial"/>
        </w:rPr>
        <w:t xml:space="preserve"> </w:t>
      </w:r>
      <w:r w:rsidRPr="00380D6F">
        <w:rPr>
          <w:rFonts w:ascii="Arial" w:hAnsi="Arial" w:cs="Arial"/>
        </w:rPr>
        <w:t xml:space="preserve">rights the core could nominate, and the total </w:t>
      </w:r>
      <w:proofErr w:type="spellStart"/>
      <w:r w:rsidRPr="00380D6F">
        <w:rPr>
          <w:rFonts w:ascii="Arial" w:hAnsi="Arial" w:cs="Arial"/>
        </w:rPr>
        <w:t>prorationed</w:t>
      </w:r>
      <w:proofErr w:type="spellEnd"/>
      <w:r w:rsidRPr="00380D6F">
        <w:rPr>
          <w:rFonts w:ascii="Arial" w:hAnsi="Arial" w:cs="Arial"/>
        </w:rPr>
        <w:t xml:space="preserve"> firm withdrawal amount.</w:t>
      </w:r>
    </w:p>
    <w:p w:rsidR="0031141C" w:rsidRDefault="0031141C" w:rsidP="005C6E7A">
      <w:pPr>
        <w:rPr>
          <w:rFonts w:ascii="Arial" w:hAnsi="Arial" w:cs="Arial"/>
          <w:b/>
          <w:u w:val="single"/>
        </w:rPr>
      </w:pPr>
    </w:p>
    <w:p w:rsidR="00F759E8" w:rsidRPr="00F759E8" w:rsidRDefault="00F759E8" w:rsidP="005C6E7A">
      <w:pPr>
        <w:rPr>
          <w:rFonts w:ascii="Arial" w:hAnsi="Arial" w:cs="Arial"/>
          <w:b/>
          <w:u w:val="single"/>
        </w:rPr>
      </w:pPr>
      <w:r w:rsidRPr="00F759E8">
        <w:rPr>
          <w:rFonts w:ascii="Arial" w:hAnsi="Arial" w:cs="Arial"/>
          <w:b/>
          <w:u w:val="single"/>
        </w:rPr>
        <w:t>RESPONSE 1:</w:t>
      </w:r>
    </w:p>
    <w:p w:rsidR="006B5580" w:rsidRDefault="006B5580" w:rsidP="005C6E7A">
      <w:pPr>
        <w:rPr>
          <w:rFonts w:ascii="Arial" w:hAnsi="Arial" w:cs="Arial"/>
          <w:sz w:val="28"/>
          <w:szCs w:val="28"/>
        </w:rPr>
      </w:pPr>
    </w:p>
    <w:p w:rsidR="004961DE" w:rsidRDefault="004961DE" w:rsidP="004961DE">
      <w:pPr>
        <w:numPr>
          <w:ilvl w:val="0"/>
          <w:numId w:val="26"/>
        </w:numPr>
        <w:rPr>
          <w:rFonts w:ascii="Arial" w:hAnsi="Arial" w:cs="Arial"/>
        </w:rPr>
      </w:pPr>
      <w:r w:rsidRPr="004961DE">
        <w:rPr>
          <w:rFonts w:ascii="Arial" w:hAnsi="Arial" w:cs="Arial"/>
        </w:rPr>
        <w:t>Yes.</w:t>
      </w:r>
    </w:p>
    <w:p w:rsidR="004961DE" w:rsidRPr="004961DE" w:rsidRDefault="004961DE" w:rsidP="004961DE">
      <w:pPr>
        <w:ind w:left="360"/>
        <w:rPr>
          <w:rFonts w:ascii="Arial" w:hAnsi="Arial" w:cs="Arial"/>
        </w:rPr>
      </w:pPr>
    </w:p>
    <w:p w:rsidR="004961DE" w:rsidRPr="004961DE" w:rsidRDefault="004961DE" w:rsidP="004961DE">
      <w:pPr>
        <w:numPr>
          <w:ilvl w:val="0"/>
          <w:numId w:val="26"/>
        </w:numPr>
        <w:rPr>
          <w:rFonts w:ascii="Arial" w:hAnsi="Arial" w:cs="Arial"/>
        </w:rPr>
      </w:pPr>
      <w:r w:rsidRPr="004961DE">
        <w:rPr>
          <w:rFonts w:ascii="Arial" w:hAnsi="Arial" w:cs="Arial"/>
        </w:rPr>
        <w:t>See table below</w:t>
      </w:r>
      <w:r w:rsidR="00715880">
        <w:rPr>
          <w:rFonts w:ascii="Arial" w:hAnsi="Arial" w:cs="Arial"/>
        </w:rPr>
        <w:t>, in dths.</w:t>
      </w:r>
    </w:p>
    <w:p w:rsidR="004961DE" w:rsidRDefault="00B244CF" w:rsidP="004961DE">
      <w:pPr>
        <w:ind w:left="360"/>
      </w:pPr>
      <w:r>
        <w:rPr>
          <w:noProof/>
        </w:rPr>
        <w:drawing>
          <wp:inline distT="0" distB="0" distL="0" distR="0">
            <wp:extent cx="3087538" cy="1486893"/>
            <wp:effectExtent l="0" t="0" r="0" b="0"/>
            <wp:docPr id="1" name="Picture 1" descr="cid:image001.png@01D05D8E.EA39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5D8E.EA39A55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094155" cy="1490079"/>
                    </a:xfrm>
                    <a:prstGeom prst="rect">
                      <a:avLst/>
                    </a:prstGeom>
                    <a:noFill/>
                    <a:ln>
                      <a:noFill/>
                    </a:ln>
                  </pic:spPr>
                </pic:pic>
              </a:graphicData>
            </a:graphic>
          </wp:inline>
        </w:drawing>
      </w:r>
    </w:p>
    <w:p w:rsidR="004961DE" w:rsidRPr="004961DE" w:rsidRDefault="004961DE" w:rsidP="004961DE">
      <w:pPr>
        <w:ind w:left="360"/>
        <w:rPr>
          <w:rFonts w:ascii="Arial" w:hAnsi="Arial" w:cs="Arial"/>
          <w:b/>
          <w:u w:val="single"/>
        </w:rPr>
      </w:pPr>
    </w:p>
    <w:p w:rsidR="004961DE" w:rsidRPr="007604BA" w:rsidRDefault="00DB073E" w:rsidP="00266333">
      <w:pPr>
        <w:numPr>
          <w:ilvl w:val="0"/>
          <w:numId w:val="26"/>
        </w:numPr>
        <w:spacing w:after="120"/>
        <w:ind w:left="547"/>
        <w:rPr>
          <w:rFonts w:ascii="Arial" w:hAnsi="Arial" w:cs="Arial"/>
        </w:rPr>
      </w:pPr>
      <w:r>
        <w:rPr>
          <w:rFonts w:ascii="Arial" w:hAnsi="Arial" w:cs="Arial"/>
        </w:rPr>
        <w:lastRenderedPageBreak/>
        <w:t xml:space="preserve">No, the core has not tried to nominate its full withdrawal rights in the summer period.  Please note that </w:t>
      </w:r>
      <w:r w:rsidR="004961DE" w:rsidRPr="007604BA">
        <w:rPr>
          <w:rFonts w:ascii="Arial" w:hAnsi="Arial" w:cs="Arial"/>
        </w:rPr>
        <w:t xml:space="preserve">SoCalGas does not have </w:t>
      </w:r>
      <w:r w:rsidR="00D84CD1" w:rsidRPr="007604BA">
        <w:rPr>
          <w:rFonts w:ascii="Arial" w:hAnsi="Arial" w:cs="Arial"/>
        </w:rPr>
        <w:t>similar data over the last 10 years</w:t>
      </w:r>
      <w:r>
        <w:rPr>
          <w:rFonts w:ascii="Arial" w:hAnsi="Arial" w:cs="Arial"/>
        </w:rPr>
        <w:t xml:space="preserve"> as</w:t>
      </w:r>
      <w:r w:rsidR="00D84CD1" w:rsidRPr="007604BA">
        <w:rPr>
          <w:rFonts w:ascii="Arial" w:hAnsi="Arial" w:cs="Arial"/>
        </w:rPr>
        <w:t xml:space="preserve"> </w:t>
      </w:r>
      <w:r w:rsidR="00DE5698" w:rsidRPr="007604BA">
        <w:rPr>
          <w:rFonts w:ascii="Arial" w:hAnsi="Arial" w:cs="Arial"/>
        </w:rPr>
        <w:t>Gas Acquisition did not sc</w:t>
      </w:r>
      <w:r w:rsidR="007604BA" w:rsidRPr="007604BA">
        <w:rPr>
          <w:rFonts w:ascii="Arial" w:hAnsi="Arial" w:cs="Arial"/>
        </w:rPr>
        <w:t>hedule gas like other customers until mid-2009</w:t>
      </w:r>
      <w:r w:rsidR="00DE5698" w:rsidRPr="007604BA">
        <w:rPr>
          <w:rFonts w:ascii="Arial" w:hAnsi="Arial" w:cs="Arial"/>
        </w:rPr>
        <w:t>.</w:t>
      </w:r>
    </w:p>
    <w:p w:rsidR="00DB073E" w:rsidRPr="00762A2D" w:rsidRDefault="004961DE" w:rsidP="00F67377">
      <w:pPr>
        <w:numPr>
          <w:ilvl w:val="0"/>
          <w:numId w:val="26"/>
        </w:numPr>
        <w:rPr>
          <w:rFonts w:ascii="Arial" w:hAnsi="Arial" w:cs="Arial"/>
        </w:rPr>
      </w:pPr>
      <w:r w:rsidRPr="00D5051D">
        <w:rPr>
          <w:rFonts w:ascii="Arial" w:hAnsi="Arial" w:cs="Arial"/>
        </w:rPr>
        <w:t xml:space="preserve">No </w:t>
      </w:r>
      <w:proofErr w:type="spellStart"/>
      <w:r w:rsidRPr="00D5051D">
        <w:rPr>
          <w:rFonts w:ascii="Arial" w:hAnsi="Arial" w:cs="Arial"/>
        </w:rPr>
        <w:t>prorationing</w:t>
      </w:r>
      <w:proofErr w:type="spellEnd"/>
      <w:r w:rsidRPr="00D5051D">
        <w:rPr>
          <w:rFonts w:ascii="Arial" w:hAnsi="Arial" w:cs="Arial"/>
        </w:rPr>
        <w:t xml:space="preserve"> of summer rights occurred over </w:t>
      </w:r>
      <w:r w:rsidR="007604BA" w:rsidRPr="00D5051D">
        <w:rPr>
          <w:rFonts w:ascii="Arial" w:hAnsi="Arial" w:cs="Arial"/>
        </w:rPr>
        <w:t xml:space="preserve">the 2010-2014 </w:t>
      </w:r>
      <w:r w:rsidRPr="00D5051D">
        <w:rPr>
          <w:rFonts w:ascii="Arial" w:hAnsi="Arial" w:cs="Arial"/>
        </w:rPr>
        <w:t>period.</w:t>
      </w:r>
      <w:r w:rsidR="005C3BB1" w:rsidRPr="00762A2D" w:rsidDel="005C3BB1">
        <w:rPr>
          <w:rFonts w:ascii="Arial" w:hAnsi="Arial" w:cs="Arial"/>
        </w:rPr>
        <w:t xml:space="preserve"> </w:t>
      </w:r>
    </w:p>
    <w:p w:rsidR="00DB073E" w:rsidRPr="00762A2D" w:rsidRDefault="00DB073E" w:rsidP="00D5051D">
      <w:pPr>
        <w:rPr>
          <w:rFonts w:ascii="Arial" w:hAnsi="Arial" w:cs="Arial"/>
        </w:rPr>
      </w:pPr>
    </w:p>
    <w:p w:rsidR="00A85689" w:rsidRPr="008D2D4A" w:rsidRDefault="00DB073E" w:rsidP="00762A2D">
      <w:pPr>
        <w:ind w:firstLine="180"/>
        <w:rPr>
          <w:rFonts w:ascii="Arial" w:hAnsi="Arial" w:cs="Arial"/>
          <w:b/>
          <w:u w:val="single"/>
        </w:rPr>
      </w:pPr>
      <w:r w:rsidRPr="00762A2D">
        <w:rPr>
          <w:rFonts w:ascii="Arial" w:hAnsi="Arial" w:cs="Arial"/>
        </w:rPr>
        <w:t>e.</w:t>
      </w:r>
      <w:r w:rsidRPr="00762A2D">
        <w:rPr>
          <w:rFonts w:ascii="Arial" w:hAnsi="Arial" w:cs="Arial"/>
        </w:rPr>
        <w:tab/>
        <w:t>N/A</w:t>
      </w:r>
      <w:r w:rsidR="00F67377" w:rsidRPr="008D2D4A">
        <w:rPr>
          <w:rFonts w:ascii="Arial" w:hAnsi="Arial" w:cs="Arial"/>
          <w:b/>
          <w:u w:val="single"/>
        </w:rPr>
        <w:br w:type="page"/>
      </w:r>
    </w:p>
    <w:p w:rsidR="00266333" w:rsidRDefault="00266333"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QUESTION </w:t>
      </w:r>
      <w:r>
        <w:rPr>
          <w:rFonts w:ascii="Arial" w:hAnsi="Arial" w:cs="Arial"/>
          <w:b/>
          <w:u w:val="single"/>
        </w:rPr>
        <w:t>2</w:t>
      </w:r>
      <w:r w:rsidRPr="00F759E8">
        <w:rPr>
          <w:rFonts w:ascii="Arial" w:hAnsi="Arial" w:cs="Arial"/>
          <w:b/>
          <w:u w:val="single"/>
        </w:rPr>
        <w:t>:</w:t>
      </w:r>
    </w:p>
    <w:p w:rsidR="005F4287" w:rsidRDefault="005F4287" w:rsidP="00F67377">
      <w:pPr>
        <w:rPr>
          <w:rFonts w:ascii="Arial" w:hAnsi="Arial" w:cs="Arial"/>
        </w:rPr>
      </w:pPr>
    </w:p>
    <w:p w:rsidR="00380D6F" w:rsidRDefault="00380D6F" w:rsidP="00380D6F">
      <w:pPr>
        <w:autoSpaceDE w:val="0"/>
        <w:autoSpaceDN w:val="0"/>
        <w:adjustRightInd w:val="0"/>
        <w:rPr>
          <w:rFonts w:ascii="Arial" w:hAnsi="Arial" w:cs="Arial"/>
        </w:rPr>
      </w:pPr>
      <w:r w:rsidRPr="00380D6F">
        <w:rPr>
          <w:rFonts w:ascii="Arial" w:hAnsi="Arial" w:cs="Arial"/>
        </w:rPr>
        <w:t xml:space="preserve">Question 9 of ORA data request ORA-DR-02 asked for historical data related to </w:t>
      </w:r>
      <w:r w:rsidRPr="00380D6F">
        <w:rPr>
          <w:rFonts w:ascii="Arial" w:hAnsi="Arial" w:cs="Arial"/>
          <w:i/>
          <w:iCs/>
        </w:rPr>
        <w:t>Table 3: Storage</w:t>
      </w:r>
      <w:r>
        <w:rPr>
          <w:rFonts w:ascii="Arial" w:hAnsi="Arial" w:cs="Arial"/>
          <w:i/>
          <w:iCs/>
        </w:rPr>
        <w:t xml:space="preserve"> </w:t>
      </w:r>
      <w:r w:rsidRPr="00380D6F">
        <w:rPr>
          <w:rFonts w:ascii="Arial" w:hAnsi="Arial" w:cs="Arial"/>
          <w:i/>
          <w:iCs/>
        </w:rPr>
        <w:t xml:space="preserve">Allocations </w:t>
      </w:r>
      <w:r w:rsidRPr="00380D6F">
        <w:rPr>
          <w:rFonts w:ascii="Arial" w:hAnsi="Arial" w:cs="Arial"/>
        </w:rPr>
        <w:t xml:space="preserve">(Watson testimony, page 10, </w:t>
      </w:r>
      <w:proofErr w:type="gramStart"/>
      <w:r w:rsidRPr="00380D6F">
        <w:rPr>
          <w:rFonts w:ascii="Arial" w:hAnsi="Arial" w:cs="Arial"/>
        </w:rPr>
        <w:t>line</w:t>
      </w:r>
      <w:proofErr w:type="gramEnd"/>
      <w:r w:rsidRPr="00380D6F">
        <w:rPr>
          <w:rFonts w:ascii="Arial" w:hAnsi="Arial" w:cs="Arial"/>
        </w:rPr>
        <w:t xml:space="preserve"> 14). Sempra responded “Table 3 is a proposed</w:t>
      </w:r>
      <w:r>
        <w:rPr>
          <w:rFonts w:ascii="Arial" w:hAnsi="Arial" w:cs="Arial"/>
        </w:rPr>
        <w:t xml:space="preserve"> f</w:t>
      </w:r>
      <w:r w:rsidRPr="00380D6F">
        <w:rPr>
          <w:rFonts w:ascii="Arial" w:hAnsi="Arial" w:cs="Arial"/>
        </w:rPr>
        <w:t>uture definition and allocation of firm rights. Such a table cannot be ‘</w:t>
      </w:r>
      <w:proofErr w:type="spellStart"/>
      <w:r w:rsidRPr="00380D6F">
        <w:rPr>
          <w:rFonts w:ascii="Arial" w:hAnsi="Arial" w:cs="Arial"/>
        </w:rPr>
        <w:t>backcast</w:t>
      </w:r>
      <w:proofErr w:type="spellEnd"/>
      <w:r w:rsidRPr="00380D6F">
        <w:rPr>
          <w:rFonts w:ascii="Arial" w:hAnsi="Arial" w:cs="Arial"/>
        </w:rPr>
        <w:t>’”.</w:t>
      </w:r>
    </w:p>
    <w:p w:rsidR="00380D6F" w:rsidRPr="00380D6F" w:rsidRDefault="00380D6F" w:rsidP="00380D6F">
      <w:pPr>
        <w:autoSpaceDE w:val="0"/>
        <w:autoSpaceDN w:val="0"/>
        <w:adjustRightInd w:val="0"/>
        <w:rPr>
          <w:rFonts w:ascii="Arial" w:hAnsi="Arial" w:cs="Arial"/>
        </w:rPr>
      </w:pPr>
    </w:p>
    <w:p w:rsidR="00380D6F" w:rsidRPr="00380D6F" w:rsidRDefault="00380D6F" w:rsidP="00380D6F">
      <w:pPr>
        <w:autoSpaceDE w:val="0"/>
        <w:autoSpaceDN w:val="0"/>
        <w:adjustRightInd w:val="0"/>
        <w:rPr>
          <w:rFonts w:ascii="Arial" w:hAnsi="Arial" w:cs="Arial"/>
        </w:rPr>
      </w:pPr>
      <w:r w:rsidRPr="00380D6F">
        <w:rPr>
          <w:rFonts w:ascii="Arial" w:hAnsi="Arial" w:cs="Arial"/>
        </w:rPr>
        <w:t xml:space="preserve">a. Please provide annual historical data from 2010-2014 </w:t>
      </w:r>
      <w:r w:rsidRPr="00380D6F">
        <w:rPr>
          <w:rFonts w:ascii="Arial" w:hAnsi="Arial" w:cs="Arial"/>
          <w:i/>
          <w:iCs/>
        </w:rPr>
        <w:t xml:space="preserve">similar in format </w:t>
      </w:r>
      <w:r w:rsidRPr="00380D6F">
        <w:rPr>
          <w:rFonts w:ascii="Arial" w:hAnsi="Arial" w:cs="Arial"/>
        </w:rPr>
        <w:t>of the above</w:t>
      </w:r>
    </w:p>
    <w:p w:rsidR="00380D6F" w:rsidRPr="00380D6F" w:rsidRDefault="00380D6F" w:rsidP="00380D6F">
      <w:pPr>
        <w:autoSpaceDE w:val="0"/>
        <w:autoSpaceDN w:val="0"/>
        <w:adjustRightInd w:val="0"/>
        <w:rPr>
          <w:rFonts w:ascii="Arial" w:hAnsi="Arial" w:cs="Arial"/>
        </w:rPr>
      </w:pPr>
      <w:proofErr w:type="gramStart"/>
      <w:r w:rsidRPr="00380D6F">
        <w:rPr>
          <w:rFonts w:ascii="Arial" w:hAnsi="Arial" w:cs="Arial"/>
        </w:rPr>
        <w:t>mentioned</w:t>
      </w:r>
      <w:proofErr w:type="gramEnd"/>
      <w:r w:rsidRPr="00380D6F">
        <w:rPr>
          <w:rFonts w:ascii="Arial" w:hAnsi="Arial" w:cs="Arial"/>
        </w:rPr>
        <w:t xml:space="preserve"> table. Specifically, provide firm injection and withdrawal figures in MMcf/d</w:t>
      </w:r>
    </w:p>
    <w:p w:rsidR="00380D6F" w:rsidRDefault="00380D6F" w:rsidP="00380D6F">
      <w:pPr>
        <w:autoSpaceDE w:val="0"/>
        <w:autoSpaceDN w:val="0"/>
        <w:adjustRightInd w:val="0"/>
        <w:rPr>
          <w:rFonts w:ascii="Arial" w:hAnsi="Arial" w:cs="Arial"/>
        </w:rPr>
      </w:pPr>
      <w:proofErr w:type="gramStart"/>
      <w:r w:rsidRPr="00380D6F">
        <w:rPr>
          <w:rFonts w:ascii="Arial" w:hAnsi="Arial" w:cs="Arial"/>
        </w:rPr>
        <w:t>for</w:t>
      </w:r>
      <w:proofErr w:type="gramEnd"/>
      <w:r w:rsidRPr="00380D6F">
        <w:rPr>
          <w:rFonts w:ascii="Arial" w:hAnsi="Arial" w:cs="Arial"/>
        </w:rPr>
        <w:t xml:space="preserve"> winter and summer for unbundled, core, and balancing functions; provide the total and</w:t>
      </w:r>
      <w:r>
        <w:rPr>
          <w:rFonts w:ascii="Arial" w:hAnsi="Arial" w:cs="Arial"/>
        </w:rPr>
        <w:t xml:space="preserve"> </w:t>
      </w:r>
      <w:r w:rsidRPr="00380D6F">
        <w:rPr>
          <w:rFonts w:ascii="Arial" w:hAnsi="Arial" w:cs="Arial"/>
        </w:rPr>
        <w:t>an explanation if the total does not equal exactly to the sum of the three functions.</w:t>
      </w:r>
    </w:p>
    <w:p w:rsidR="00380D6F" w:rsidRPr="00380D6F" w:rsidRDefault="00380D6F" w:rsidP="00380D6F">
      <w:pPr>
        <w:autoSpaceDE w:val="0"/>
        <w:autoSpaceDN w:val="0"/>
        <w:adjustRightInd w:val="0"/>
        <w:rPr>
          <w:rFonts w:ascii="Arial" w:hAnsi="Arial" w:cs="Arial"/>
        </w:rPr>
      </w:pPr>
    </w:p>
    <w:p w:rsidR="005F4287" w:rsidRDefault="00380D6F" w:rsidP="00380D6F">
      <w:pPr>
        <w:autoSpaceDE w:val="0"/>
        <w:autoSpaceDN w:val="0"/>
        <w:adjustRightInd w:val="0"/>
        <w:rPr>
          <w:rFonts w:ascii="Arial" w:hAnsi="Arial" w:cs="Arial"/>
        </w:rPr>
      </w:pPr>
      <w:r w:rsidRPr="00380D6F">
        <w:rPr>
          <w:rFonts w:ascii="Arial" w:hAnsi="Arial" w:cs="Arial"/>
        </w:rPr>
        <w:t>b. If firm injection capacity from 2010 to 2014 was previously allocated to storage functions</w:t>
      </w:r>
      <w:r>
        <w:rPr>
          <w:rFonts w:ascii="Arial" w:hAnsi="Arial" w:cs="Arial"/>
        </w:rPr>
        <w:t xml:space="preserve"> </w:t>
      </w:r>
      <w:r w:rsidRPr="00380D6F">
        <w:rPr>
          <w:rFonts w:ascii="Arial" w:hAnsi="Arial" w:cs="Arial"/>
        </w:rPr>
        <w:t>other than ‘balancing’, ‘core’, and ‘unbundled’, please replace the row headings of</w:t>
      </w:r>
      <w:r>
        <w:rPr>
          <w:rFonts w:ascii="Arial" w:hAnsi="Arial" w:cs="Arial"/>
        </w:rPr>
        <w:t xml:space="preserve"> </w:t>
      </w:r>
      <w:r w:rsidRPr="00380D6F">
        <w:rPr>
          <w:rFonts w:ascii="Arial" w:hAnsi="Arial" w:cs="Arial"/>
        </w:rPr>
        <w:t>‘unbundled’, ‘core’, and ‘balancing’ in the table with the name of the previous functions.</w:t>
      </w:r>
      <w:r>
        <w:rPr>
          <w:rFonts w:ascii="Arial" w:hAnsi="Arial" w:cs="Arial"/>
        </w:rPr>
        <w:t xml:space="preserve"> </w:t>
      </w:r>
      <w:r w:rsidRPr="00380D6F">
        <w:rPr>
          <w:rFonts w:ascii="Arial" w:hAnsi="Arial" w:cs="Arial"/>
        </w:rPr>
        <w:t>Please ensure that the table still shows firm injection and withdrawal figures in MMcf/d as</w:t>
      </w:r>
      <w:r>
        <w:rPr>
          <w:rFonts w:ascii="Arial" w:hAnsi="Arial" w:cs="Arial"/>
        </w:rPr>
        <w:t xml:space="preserve"> </w:t>
      </w:r>
      <w:r w:rsidRPr="00380D6F">
        <w:rPr>
          <w:rFonts w:ascii="Arial" w:hAnsi="Arial" w:cs="Arial"/>
        </w:rPr>
        <w:t>Table 3 in Watson testimony, page 10, line 14 does. Please also provide definitions for</w:t>
      </w:r>
      <w:r>
        <w:rPr>
          <w:rFonts w:ascii="Arial" w:hAnsi="Arial" w:cs="Arial"/>
        </w:rPr>
        <w:t xml:space="preserve"> </w:t>
      </w:r>
      <w:r w:rsidRPr="00380D6F">
        <w:rPr>
          <w:rFonts w:ascii="Arial" w:hAnsi="Arial" w:cs="Arial"/>
        </w:rPr>
        <w:t>each of these functions.</w:t>
      </w:r>
    </w:p>
    <w:p w:rsidR="00380D6F" w:rsidRPr="00380D6F" w:rsidRDefault="00380D6F" w:rsidP="00380D6F">
      <w:pPr>
        <w:autoSpaceDE w:val="0"/>
        <w:autoSpaceDN w:val="0"/>
        <w:adjustRightInd w:val="0"/>
        <w:rPr>
          <w:rFonts w:ascii="Arial" w:hAnsi="Arial" w:cs="Arial"/>
        </w:rPr>
      </w:pPr>
    </w:p>
    <w:p w:rsidR="00380D6F" w:rsidRDefault="00380D6F" w:rsidP="00380D6F">
      <w:pPr>
        <w:autoSpaceDE w:val="0"/>
        <w:autoSpaceDN w:val="0"/>
        <w:adjustRightInd w:val="0"/>
        <w:rPr>
          <w:rFonts w:ascii="Arial" w:hAnsi="Arial" w:cs="Arial"/>
        </w:rPr>
      </w:pPr>
      <w:r>
        <w:rPr>
          <w:rFonts w:ascii="Arial" w:hAnsi="Arial" w:cs="Arial"/>
        </w:rPr>
        <w:t xml:space="preserve">c. </w:t>
      </w:r>
      <w:r w:rsidRPr="00380D6F">
        <w:rPr>
          <w:rFonts w:ascii="Arial" w:hAnsi="Arial" w:cs="Arial"/>
        </w:rPr>
        <w:t>If firm injection capacity from 2010 to 2014 has been previously allocated over different</w:t>
      </w:r>
      <w:r>
        <w:rPr>
          <w:rFonts w:ascii="Arial" w:hAnsi="Arial" w:cs="Arial"/>
        </w:rPr>
        <w:t xml:space="preserve"> </w:t>
      </w:r>
      <w:r w:rsidRPr="00380D6F">
        <w:rPr>
          <w:rFonts w:ascii="Arial" w:hAnsi="Arial" w:cs="Arial"/>
        </w:rPr>
        <w:t>time/season periods than ‘winter’ and ‘summer’, please state each such period. Please also</w:t>
      </w:r>
      <w:r>
        <w:rPr>
          <w:rFonts w:ascii="Arial" w:hAnsi="Arial" w:cs="Arial"/>
        </w:rPr>
        <w:t xml:space="preserve"> </w:t>
      </w:r>
      <w:r w:rsidRPr="00380D6F">
        <w:rPr>
          <w:rFonts w:ascii="Arial" w:hAnsi="Arial" w:cs="Arial"/>
        </w:rPr>
        <w:t>define the duration of each such period. Please replace the column headings of ‘winter’</w:t>
      </w:r>
      <w:r>
        <w:rPr>
          <w:rFonts w:ascii="Arial" w:hAnsi="Arial" w:cs="Arial"/>
        </w:rPr>
        <w:t xml:space="preserve"> </w:t>
      </w:r>
      <w:r w:rsidRPr="00380D6F">
        <w:rPr>
          <w:rFonts w:ascii="Arial" w:hAnsi="Arial" w:cs="Arial"/>
        </w:rPr>
        <w:t>and ‘summer’ in the table with these terms. Please ensure that the table still shows firm</w:t>
      </w:r>
      <w:r>
        <w:rPr>
          <w:rFonts w:ascii="Arial" w:hAnsi="Arial" w:cs="Arial"/>
        </w:rPr>
        <w:t xml:space="preserve"> </w:t>
      </w:r>
      <w:r w:rsidRPr="00380D6F">
        <w:rPr>
          <w:rFonts w:ascii="Arial" w:hAnsi="Arial" w:cs="Arial"/>
        </w:rPr>
        <w:t>injection and withdrawal figures in MMcf/d as Table 3 in Watson testimony, page 10, line</w:t>
      </w:r>
      <w:r>
        <w:rPr>
          <w:rFonts w:ascii="Arial" w:hAnsi="Arial" w:cs="Arial"/>
        </w:rPr>
        <w:t xml:space="preserve"> </w:t>
      </w:r>
      <w:r w:rsidRPr="00380D6F">
        <w:rPr>
          <w:rFonts w:ascii="Arial" w:hAnsi="Arial" w:cs="Arial"/>
        </w:rPr>
        <w:t>14 does.</w:t>
      </w:r>
    </w:p>
    <w:p w:rsidR="00380D6F" w:rsidRPr="00380D6F" w:rsidRDefault="00380D6F" w:rsidP="00380D6F">
      <w:pPr>
        <w:autoSpaceDE w:val="0"/>
        <w:autoSpaceDN w:val="0"/>
        <w:adjustRightInd w:val="0"/>
        <w:rPr>
          <w:rFonts w:ascii="Arial" w:hAnsi="Arial" w:cs="Arial"/>
        </w:rPr>
      </w:pPr>
    </w:p>
    <w:p w:rsidR="00380D6F" w:rsidRPr="00380D6F" w:rsidRDefault="00380D6F" w:rsidP="00380D6F">
      <w:pPr>
        <w:autoSpaceDE w:val="0"/>
        <w:autoSpaceDN w:val="0"/>
        <w:adjustRightInd w:val="0"/>
        <w:rPr>
          <w:rFonts w:ascii="Arial" w:hAnsi="Arial" w:cs="Arial"/>
        </w:rPr>
      </w:pPr>
      <w:r w:rsidRPr="00380D6F">
        <w:rPr>
          <w:rFonts w:ascii="Arial" w:hAnsi="Arial" w:cs="Arial"/>
        </w:rPr>
        <w:t>d. If data from the system used previously is completely incomparable to data in Table 3,</w:t>
      </w:r>
      <w:r>
        <w:rPr>
          <w:rFonts w:ascii="Arial" w:hAnsi="Arial" w:cs="Arial"/>
        </w:rPr>
        <w:t xml:space="preserve"> </w:t>
      </w:r>
      <w:r w:rsidRPr="00380D6F">
        <w:rPr>
          <w:rFonts w:ascii="Arial" w:hAnsi="Arial" w:cs="Arial"/>
        </w:rPr>
        <w:t>please provide a detailed written explanation of the previously-used system and data on</w:t>
      </w:r>
      <w:r>
        <w:rPr>
          <w:rFonts w:ascii="Arial" w:hAnsi="Arial" w:cs="Arial"/>
        </w:rPr>
        <w:t xml:space="preserve"> </w:t>
      </w:r>
      <w:r w:rsidRPr="00380D6F">
        <w:rPr>
          <w:rFonts w:ascii="Arial" w:hAnsi="Arial" w:cs="Arial"/>
        </w:rPr>
        <w:t>how firm capacity was previously allocated and recorded.</w:t>
      </w:r>
    </w:p>
    <w:p w:rsidR="00582C14" w:rsidRPr="0031141C" w:rsidRDefault="00582C14" w:rsidP="00F67377">
      <w:pPr>
        <w:rPr>
          <w:rFonts w:ascii="Arial" w:hAnsi="Arial" w:cs="Arial"/>
          <w:b/>
        </w:rPr>
      </w:pPr>
    </w:p>
    <w:p w:rsidR="00380D6F" w:rsidRDefault="00380D6F"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2</w:t>
      </w:r>
      <w:r w:rsidRPr="00F759E8">
        <w:rPr>
          <w:rFonts w:ascii="Arial" w:hAnsi="Arial" w:cs="Arial"/>
          <w:b/>
          <w:u w:val="single"/>
        </w:rPr>
        <w:t>:</w:t>
      </w:r>
    </w:p>
    <w:p w:rsidR="00DB073E" w:rsidRDefault="00DB073E" w:rsidP="005C6E7A">
      <w:pPr>
        <w:rPr>
          <w:rFonts w:ascii="Arial" w:hAnsi="Arial" w:cs="Arial"/>
        </w:rPr>
      </w:pPr>
    </w:p>
    <w:p w:rsidR="00DB073E" w:rsidRPr="00D5051D" w:rsidRDefault="00DB073E" w:rsidP="00D5051D">
      <w:pPr>
        <w:pStyle w:val="ListParagraph"/>
        <w:numPr>
          <w:ilvl w:val="0"/>
          <w:numId w:val="31"/>
        </w:numPr>
        <w:rPr>
          <w:rFonts w:ascii="Arial" w:hAnsi="Arial" w:cs="Arial"/>
        </w:rPr>
      </w:pPr>
      <w:r>
        <w:rPr>
          <w:rFonts w:ascii="Arial" w:hAnsi="Arial" w:cs="Arial"/>
        </w:rPr>
        <w:t xml:space="preserve">– </w:t>
      </w:r>
      <w:proofErr w:type="gramStart"/>
      <w:r>
        <w:rPr>
          <w:rFonts w:ascii="Arial" w:hAnsi="Arial" w:cs="Arial"/>
        </w:rPr>
        <w:t>d</w:t>
      </w:r>
      <w:proofErr w:type="gramEnd"/>
      <w:r>
        <w:rPr>
          <w:rFonts w:ascii="Arial" w:hAnsi="Arial" w:cs="Arial"/>
        </w:rPr>
        <w:t xml:space="preserve">. </w:t>
      </w:r>
    </w:p>
    <w:p w:rsidR="00DB073E" w:rsidRDefault="00DB073E" w:rsidP="005C6E7A">
      <w:pPr>
        <w:rPr>
          <w:rFonts w:ascii="Arial" w:hAnsi="Arial" w:cs="Arial"/>
        </w:rPr>
      </w:pPr>
    </w:p>
    <w:p w:rsidR="00F67377" w:rsidRDefault="002021A5" w:rsidP="005C6E7A">
      <w:pPr>
        <w:rPr>
          <w:rFonts w:ascii="Arial" w:hAnsi="Arial" w:cs="Arial"/>
          <w:sz w:val="28"/>
          <w:szCs w:val="28"/>
        </w:rPr>
      </w:pP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4pt;width:112.55pt;height:70.65pt;z-index:251659264;mso-position-horizontal:left;mso-position-horizontal-relative:text;mso-position-vertical-relative:text">
            <v:imagedata r:id="rId11" o:title=""/>
            <w10:wrap type="square" side="right"/>
          </v:shape>
          <o:OLEObject Type="Embed" ProgID="Acrobat.Document.11" ShapeID="_x0000_s1029" DrawAspect="Icon" ObjectID="_1488896824" r:id="rId12"/>
        </w:pict>
      </w:r>
      <w:r w:rsidR="00D5051D">
        <w:rPr>
          <w:rFonts w:ascii="Arial" w:hAnsi="Arial" w:cs="Arial"/>
          <w:sz w:val="28"/>
          <w:szCs w:val="28"/>
        </w:rPr>
        <w:br w:type="textWrapping" w:clear="all"/>
      </w:r>
    </w:p>
    <w:p w:rsidR="00F67377" w:rsidRPr="00E047E9" w:rsidRDefault="00E047E9" w:rsidP="005C6E7A">
      <w:pPr>
        <w:rPr>
          <w:rFonts w:ascii="Arial" w:hAnsi="Arial" w:cs="Arial"/>
        </w:rPr>
      </w:pPr>
      <w:r w:rsidRPr="00E047E9">
        <w:rPr>
          <w:rFonts w:ascii="Arial" w:hAnsi="Arial" w:cs="Arial"/>
        </w:rPr>
        <w:lastRenderedPageBreak/>
        <w:t>The data is not comparable.  The fixed annual c</w:t>
      </w:r>
      <w:r w:rsidR="009906C4">
        <w:rPr>
          <w:rFonts w:ascii="Arial" w:hAnsi="Arial" w:cs="Arial"/>
        </w:rPr>
        <w:t xml:space="preserve">apacity figures were adopted through </w:t>
      </w:r>
      <w:r w:rsidR="00DB073E">
        <w:rPr>
          <w:rFonts w:ascii="Arial" w:hAnsi="Arial" w:cs="Arial"/>
        </w:rPr>
        <w:t xml:space="preserve">the attached </w:t>
      </w:r>
      <w:r w:rsidRPr="00E047E9">
        <w:rPr>
          <w:rFonts w:ascii="Arial" w:hAnsi="Arial" w:cs="Arial"/>
        </w:rPr>
        <w:t>Settlement</w:t>
      </w:r>
      <w:r w:rsidR="00DB073E">
        <w:rPr>
          <w:rFonts w:ascii="Arial" w:hAnsi="Arial" w:cs="Arial"/>
        </w:rPr>
        <w:t xml:space="preserve"> Agreement adopted in D.09-11-006</w:t>
      </w:r>
      <w:r w:rsidRPr="00E047E9">
        <w:rPr>
          <w:rFonts w:ascii="Arial" w:hAnsi="Arial" w:cs="Arial"/>
        </w:rPr>
        <w:t xml:space="preserve">.  Total </w:t>
      </w:r>
      <w:r w:rsidR="006801D3">
        <w:rPr>
          <w:rFonts w:ascii="Arial" w:hAnsi="Arial" w:cs="Arial"/>
        </w:rPr>
        <w:t xml:space="preserve">annual </w:t>
      </w:r>
      <w:r w:rsidRPr="00E047E9">
        <w:rPr>
          <w:rFonts w:ascii="Arial" w:hAnsi="Arial" w:cs="Arial"/>
        </w:rPr>
        <w:t>capacities were set in paragraph 4.  Core capacities were set in paragraph</w:t>
      </w:r>
      <w:r w:rsidR="006232CC">
        <w:rPr>
          <w:rFonts w:ascii="Arial" w:hAnsi="Arial" w:cs="Arial"/>
        </w:rPr>
        <w:t xml:space="preserve">s </w:t>
      </w:r>
      <w:r w:rsidRPr="00E047E9">
        <w:rPr>
          <w:rFonts w:ascii="Arial" w:hAnsi="Arial" w:cs="Arial"/>
        </w:rPr>
        <w:t>5</w:t>
      </w:r>
      <w:r w:rsidR="006232CC">
        <w:rPr>
          <w:rFonts w:ascii="Arial" w:hAnsi="Arial" w:cs="Arial"/>
        </w:rPr>
        <w:t xml:space="preserve"> and 6</w:t>
      </w:r>
      <w:r w:rsidRPr="00E047E9">
        <w:rPr>
          <w:rFonts w:ascii="Arial" w:hAnsi="Arial" w:cs="Arial"/>
        </w:rPr>
        <w:t>.  Balancing capacities were set in paragraph 9.  Unbundled storage capacities were set in paragraph 12.</w:t>
      </w:r>
      <w:r w:rsidR="009906C4" w:rsidRPr="00E047E9">
        <w:rPr>
          <w:rFonts w:ascii="Arial" w:hAnsi="Arial" w:cs="Arial"/>
        </w:rPr>
        <w:t xml:space="preserve"> </w:t>
      </w:r>
    </w:p>
    <w:p w:rsidR="00D91C00" w:rsidRDefault="00D91C00" w:rsidP="00F67377">
      <w:pPr>
        <w:rPr>
          <w:rFonts w:ascii="Arial" w:hAnsi="Arial" w:cs="Arial"/>
          <w:b/>
          <w:u w:val="single"/>
        </w:rPr>
      </w:pPr>
    </w:p>
    <w:p w:rsidR="00D91C00" w:rsidRDefault="00D91C00" w:rsidP="00F67377">
      <w:pPr>
        <w:rPr>
          <w:rFonts w:ascii="Arial" w:hAnsi="Arial" w:cs="Arial"/>
        </w:rPr>
      </w:pPr>
      <w:r>
        <w:rPr>
          <w:rFonts w:ascii="Arial" w:hAnsi="Arial" w:cs="Arial"/>
        </w:rPr>
        <w:t xml:space="preserve">The parties </w:t>
      </w:r>
      <w:r w:rsidR="00AB7965">
        <w:rPr>
          <w:rFonts w:ascii="Arial" w:hAnsi="Arial" w:cs="Arial"/>
        </w:rPr>
        <w:t xml:space="preserve">adopted </w:t>
      </w:r>
      <w:r>
        <w:rPr>
          <w:rFonts w:ascii="Arial" w:hAnsi="Arial" w:cs="Arial"/>
        </w:rPr>
        <w:t xml:space="preserve">the </w:t>
      </w:r>
      <w:r w:rsidR="00CD1B04">
        <w:rPr>
          <w:rFonts w:ascii="Arial" w:hAnsi="Arial" w:cs="Arial"/>
        </w:rPr>
        <w:t>capacities suggest</w:t>
      </w:r>
      <w:r w:rsidR="00AB7965">
        <w:rPr>
          <w:rFonts w:ascii="Arial" w:hAnsi="Arial" w:cs="Arial"/>
        </w:rPr>
        <w:t>ed</w:t>
      </w:r>
      <w:r w:rsidR="00CD1B04">
        <w:rPr>
          <w:rFonts w:ascii="Arial" w:hAnsi="Arial" w:cs="Arial"/>
        </w:rPr>
        <w:t xml:space="preserve"> in </w:t>
      </w:r>
      <w:r w:rsidR="003C3D7E">
        <w:rPr>
          <w:rFonts w:ascii="Arial" w:hAnsi="Arial" w:cs="Arial"/>
        </w:rPr>
        <w:t xml:space="preserve">Phase 2 </w:t>
      </w:r>
      <w:r>
        <w:rPr>
          <w:rFonts w:ascii="Arial" w:hAnsi="Arial" w:cs="Arial"/>
        </w:rPr>
        <w:t>testimony of Steve Watson</w:t>
      </w:r>
      <w:r w:rsidR="00CD1B04">
        <w:rPr>
          <w:rFonts w:ascii="Arial" w:hAnsi="Arial" w:cs="Arial"/>
        </w:rPr>
        <w:t xml:space="preserve"> in A</w:t>
      </w:r>
      <w:r w:rsidR="0072501F">
        <w:rPr>
          <w:rFonts w:ascii="Arial" w:hAnsi="Arial" w:cs="Arial"/>
        </w:rPr>
        <w:t>.0</w:t>
      </w:r>
      <w:r w:rsidR="00CD1B04">
        <w:rPr>
          <w:rFonts w:ascii="Arial" w:hAnsi="Arial" w:cs="Arial"/>
        </w:rPr>
        <w:t>8-02-001</w:t>
      </w:r>
      <w:r w:rsidR="003C3D7E">
        <w:rPr>
          <w:rFonts w:ascii="Arial" w:hAnsi="Arial" w:cs="Arial"/>
        </w:rPr>
        <w:t xml:space="preserve">, which was redlined pursuant to the </w:t>
      </w:r>
      <w:r w:rsidR="0072501F">
        <w:rPr>
          <w:rFonts w:ascii="Arial" w:hAnsi="Arial" w:cs="Arial"/>
        </w:rPr>
        <w:t xml:space="preserve">aforementioned </w:t>
      </w:r>
      <w:r w:rsidR="003C3D7E">
        <w:rPr>
          <w:rFonts w:ascii="Arial" w:hAnsi="Arial" w:cs="Arial"/>
        </w:rPr>
        <w:t>Settlement</w:t>
      </w:r>
      <w:r w:rsidR="0072501F">
        <w:rPr>
          <w:rFonts w:ascii="Arial" w:hAnsi="Arial" w:cs="Arial"/>
        </w:rPr>
        <w:t xml:space="preserve"> Agreement</w:t>
      </w:r>
      <w:r w:rsidR="00CD1B04">
        <w:rPr>
          <w:rFonts w:ascii="Arial" w:hAnsi="Arial" w:cs="Arial"/>
        </w:rPr>
        <w:t xml:space="preserve">.  In addition, the parties </w:t>
      </w:r>
      <w:r w:rsidR="00AB7965">
        <w:rPr>
          <w:rFonts w:ascii="Arial" w:hAnsi="Arial" w:cs="Arial"/>
        </w:rPr>
        <w:t>agreed t</w:t>
      </w:r>
      <w:r>
        <w:rPr>
          <w:rFonts w:ascii="Arial" w:hAnsi="Arial" w:cs="Arial"/>
        </w:rPr>
        <w:t xml:space="preserve">o expand inventory at Honor Rancho and injection capacity at Aliso Canyon—as discussed in the Settlement </w:t>
      </w:r>
      <w:r w:rsidR="0072501F">
        <w:rPr>
          <w:rFonts w:ascii="Arial" w:hAnsi="Arial" w:cs="Arial"/>
        </w:rPr>
        <w:t xml:space="preserve">Agreement </w:t>
      </w:r>
      <w:r>
        <w:rPr>
          <w:rFonts w:ascii="Arial" w:hAnsi="Arial" w:cs="Arial"/>
        </w:rPr>
        <w:t>documents.</w:t>
      </w:r>
    </w:p>
    <w:p w:rsidR="00D91C00" w:rsidRDefault="00D91C00" w:rsidP="00F67377">
      <w:pPr>
        <w:rPr>
          <w:rFonts w:ascii="Arial" w:hAnsi="Arial" w:cs="Arial"/>
        </w:rPr>
      </w:pPr>
      <w:r>
        <w:rPr>
          <w:rFonts w:ascii="Arial" w:hAnsi="Arial" w:cs="Arial"/>
        </w:rPr>
        <w:t xml:space="preserve">  </w:t>
      </w:r>
    </w:p>
    <w:bookmarkStart w:id="0" w:name="_MON_1488172307"/>
    <w:bookmarkEnd w:id="0"/>
    <w:p w:rsidR="00F67377" w:rsidRDefault="003C3D7E" w:rsidP="00F67377">
      <w:pPr>
        <w:rPr>
          <w:rFonts w:ascii="Arial" w:hAnsi="Arial" w:cs="Arial"/>
          <w:b/>
          <w:u w:val="single"/>
        </w:rPr>
      </w:pPr>
      <w:r w:rsidRPr="003C3D7E">
        <w:rPr>
          <w:rFonts w:ascii="Arial" w:hAnsi="Arial" w:cs="Arial"/>
        </w:rPr>
        <w:object w:dxaOrig="1501" w:dyaOrig="952">
          <v:shape id="_x0000_i1025" type="#_x0000_t75" style="width:75.4pt;height:46.85pt" o:ole="">
            <v:imagedata r:id="rId13" o:title=""/>
          </v:shape>
          <o:OLEObject Type="Embed" ProgID="Word.Document.8" ShapeID="_x0000_i1025" DrawAspect="Icon" ObjectID="_1488896823" r:id="rId14">
            <o:FieldCodes>\s</o:FieldCodes>
          </o:OLEObject>
        </w:object>
      </w:r>
      <w:r w:rsidR="00F67377">
        <w:rPr>
          <w:rFonts w:ascii="Arial" w:hAnsi="Arial" w:cs="Arial"/>
          <w:b/>
          <w:u w:val="single"/>
        </w:rPr>
        <w:br w:type="page"/>
      </w:r>
    </w:p>
    <w:p w:rsidR="00F67377" w:rsidRPr="00F759E8" w:rsidRDefault="00F67377" w:rsidP="00F67377">
      <w:pPr>
        <w:rPr>
          <w:rFonts w:ascii="Arial" w:hAnsi="Arial" w:cs="Arial"/>
          <w:b/>
          <w:u w:val="single"/>
        </w:rPr>
      </w:pPr>
      <w:r w:rsidRPr="00F759E8">
        <w:rPr>
          <w:rFonts w:ascii="Arial" w:hAnsi="Arial" w:cs="Arial"/>
          <w:b/>
          <w:u w:val="single"/>
        </w:rPr>
        <w:lastRenderedPageBreak/>
        <w:t xml:space="preserve">QUESTION </w:t>
      </w:r>
      <w:r>
        <w:rPr>
          <w:rFonts w:ascii="Arial" w:hAnsi="Arial" w:cs="Arial"/>
          <w:b/>
          <w:u w:val="single"/>
        </w:rPr>
        <w:t>3</w:t>
      </w:r>
      <w:r w:rsidRPr="00F759E8">
        <w:rPr>
          <w:rFonts w:ascii="Arial" w:hAnsi="Arial" w:cs="Arial"/>
          <w:b/>
          <w:u w:val="single"/>
        </w:rPr>
        <w:t>:</w:t>
      </w:r>
    </w:p>
    <w:p w:rsidR="005F4287" w:rsidRPr="0031141C" w:rsidRDefault="005F4287" w:rsidP="00F67377">
      <w:pPr>
        <w:rPr>
          <w:rFonts w:ascii="Arial" w:hAnsi="Arial" w:cs="Arial"/>
        </w:rPr>
      </w:pPr>
    </w:p>
    <w:p w:rsidR="00380D6F" w:rsidRDefault="00380D6F" w:rsidP="00380D6F">
      <w:pPr>
        <w:autoSpaceDE w:val="0"/>
        <w:autoSpaceDN w:val="0"/>
        <w:adjustRightInd w:val="0"/>
        <w:rPr>
          <w:rFonts w:ascii="Arial" w:hAnsi="Arial" w:cs="Arial"/>
        </w:rPr>
      </w:pPr>
      <w:r w:rsidRPr="00380D6F">
        <w:rPr>
          <w:rFonts w:ascii="Arial" w:hAnsi="Arial" w:cs="Arial"/>
        </w:rPr>
        <w:t>In Response 11 of ORA data request ORA-DR-02, Sempra stated “SoCalGas is unable to</w:t>
      </w:r>
      <w:r>
        <w:rPr>
          <w:rFonts w:ascii="Arial" w:hAnsi="Arial" w:cs="Arial"/>
        </w:rPr>
        <w:t xml:space="preserve"> </w:t>
      </w:r>
      <w:proofErr w:type="spellStart"/>
      <w:r w:rsidRPr="00380D6F">
        <w:rPr>
          <w:rFonts w:ascii="Arial" w:hAnsi="Arial" w:cs="Arial"/>
        </w:rPr>
        <w:t>backcast</w:t>
      </w:r>
      <w:proofErr w:type="spellEnd"/>
      <w:r w:rsidRPr="00380D6F">
        <w:rPr>
          <w:rFonts w:ascii="Arial" w:hAnsi="Arial" w:cs="Arial"/>
        </w:rPr>
        <w:t xml:space="preserve"> what net unbundled storage revenues (and the associated shareholder and ratepayer</w:t>
      </w:r>
      <w:r>
        <w:rPr>
          <w:rFonts w:ascii="Arial" w:hAnsi="Arial" w:cs="Arial"/>
        </w:rPr>
        <w:t xml:space="preserve"> </w:t>
      </w:r>
      <w:r w:rsidRPr="00380D6F">
        <w:rPr>
          <w:rFonts w:ascii="Arial" w:hAnsi="Arial" w:cs="Arial"/>
        </w:rPr>
        <w:t>amounts) might have been under a 60/40 sharing mechanism.”</w:t>
      </w:r>
    </w:p>
    <w:p w:rsidR="00380D6F" w:rsidRPr="00380D6F" w:rsidRDefault="00380D6F" w:rsidP="00380D6F">
      <w:pPr>
        <w:autoSpaceDE w:val="0"/>
        <w:autoSpaceDN w:val="0"/>
        <w:adjustRightInd w:val="0"/>
        <w:rPr>
          <w:rFonts w:ascii="Arial" w:hAnsi="Arial" w:cs="Arial"/>
        </w:rPr>
      </w:pPr>
    </w:p>
    <w:p w:rsidR="00380D6F" w:rsidRPr="00380D6F" w:rsidRDefault="00380D6F" w:rsidP="00380D6F">
      <w:pPr>
        <w:autoSpaceDE w:val="0"/>
        <w:autoSpaceDN w:val="0"/>
        <w:adjustRightInd w:val="0"/>
        <w:rPr>
          <w:rFonts w:ascii="Arial" w:hAnsi="Arial" w:cs="Arial"/>
        </w:rPr>
      </w:pPr>
      <w:r w:rsidRPr="00380D6F">
        <w:rPr>
          <w:rFonts w:ascii="Arial" w:hAnsi="Arial" w:cs="Arial"/>
        </w:rPr>
        <w:t>a. Would SCG and SDG&amp;E agree that to determine a 60/40 split, one must multiply the</w:t>
      </w:r>
    </w:p>
    <w:p w:rsidR="00380D6F" w:rsidRDefault="00380D6F" w:rsidP="00380D6F">
      <w:pPr>
        <w:autoSpaceDE w:val="0"/>
        <w:autoSpaceDN w:val="0"/>
        <w:adjustRightInd w:val="0"/>
        <w:rPr>
          <w:rFonts w:ascii="Arial" w:hAnsi="Arial" w:cs="Arial"/>
        </w:rPr>
      </w:pPr>
      <w:proofErr w:type="gramStart"/>
      <w:r w:rsidRPr="00380D6F">
        <w:rPr>
          <w:rFonts w:ascii="Arial" w:hAnsi="Arial" w:cs="Arial"/>
        </w:rPr>
        <w:t>amount</w:t>
      </w:r>
      <w:proofErr w:type="gramEnd"/>
      <w:r w:rsidRPr="00380D6F">
        <w:rPr>
          <w:rFonts w:ascii="Arial" w:hAnsi="Arial" w:cs="Arial"/>
        </w:rPr>
        <w:t xml:space="preserve"> in question by 0.6 and 0.4, respectively?</w:t>
      </w:r>
    </w:p>
    <w:p w:rsidR="00380D6F" w:rsidRPr="00380D6F" w:rsidRDefault="00380D6F" w:rsidP="00380D6F">
      <w:pPr>
        <w:autoSpaceDE w:val="0"/>
        <w:autoSpaceDN w:val="0"/>
        <w:adjustRightInd w:val="0"/>
        <w:rPr>
          <w:rFonts w:ascii="Arial" w:hAnsi="Arial" w:cs="Arial"/>
        </w:rPr>
      </w:pPr>
    </w:p>
    <w:p w:rsidR="00380D6F" w:rsidRDefault="00380D6F" w:rsidP="00380D6F">
      <w:pPr>
        <w:autoSpaceDE w:val="0"/>
        <w:autoSpaceDN w:val="0"/>
        <w:adjustRightInd w:val="0"/>
        <w:rPr>
          <w:rFonts w:ascii="Arial" w:hAnsi="Arial" w:cs="Arial"/>
        </w:rPr>
      </w:pPr>
      <w:r w:rsidRPr="00380D6F">
        <w:rPr>
          <w:rFonts w:ascii="Arial" w:hAnsi="Arial" w:cs="Arial"/>
        </w:rPr>
        <w:t>b. If the answer to question 3a is yes, would SCG and SDG&amp;E agree that this would result in</w:t>
      </w:r>
      <w:r>
        <w:rPr>
          <w:rFonts w:ascii="Arial" w:hAnsi="Arial" w:cs="Arial"/>
        </w:rPr>
        <w:t xml:space="preserve"> </w:t>
      </w:r>
      <w:r w:rsidRPr="00380D6F">
        <w:rPr>
          <w:rFonts w:ascii="Arial" w:hAnsi="Arial" w:cs="Arial"/>
        </w:rPr>
        <w:t>the following table, assuming unchanged past revenues? If not, please explain and provide</w:t>
      </w:r>
      <w:r>
        <w:rPr>
          <w:rFonts w:ascii="Arial" w:hAnsi="Arial" w:cs="Arial"/>
        </w:rPr>
        <w:t xml:space="preserve"> </w:t>
      </w:r>
      <w:r w:rsidRPr="00380D6F">
        <w:rPr>
          <w:rFonts w:ascii="Arial" w:hAnsi="Arial" w:cs="Arial"/>
        </w:rPr>
        <w:t>a table formatted in the same fashion as the one immediately below with all of the values</w:t>
      </w:r>
      <w:r>
        <w:rPr>
          <w:rFonts w:ascii="Arial" w:hAnsi="Arial" w:cs="Arial"/>
        </w:rPr>
        <w:t xml:space="preserve"> </w:t>
      </w:r>
      <w:r w:rsidRPr="00380D6F">
        <w:rPr>
          <w:rFonts w:ascii="Arial" w:hAnsi="Arial" w:cs="Arial"/>
        </w:rPr>
        <w:t>filled in.</w:t>
      </w:r>
    </w:p>
    <w:p w:rsidR="0069402E" w:rsidRDefault="0069402E" w:rsidP="00380D6F">
      <w:pPr>
        <w:autoSpaceDE w:val="0"/>
        <w:autoSpaceDN w:val="0"/>
        <w:adjustRightInd w:val="0"/>
        <w:rPr>
          <w:rFonts w:ascii="Arial" w:hAnsi="Arial" w:cs="Arial"/>
        </w:rPr>
      </w:pPr>
    </w:p>
    <w:p w:rsidR="0069402E" w:rsidRPr="0069402E" w:rsidRDefault="0069402E" w:rsidP="0069402E">
      <w:pPr>
        <w:kinsoku w:val="0"/>
        <w:overflowPunct w:val="0"/>
        <w:autoSpaceDE w:val="0"/>
        <w:autoSpaceDN w:val="0"/>
        <w:adjustRightInd w:val="0"/>
        <w:spacing w:before="11"/>
        <w:rPr>
          <w:sz w:val="2"/>
          <w:szCs w:val="2"/>
        </w:rPr>
      </w:pPr>
    </w:p>
    <w:tbl>
      <w:tblPr>
        <w:tblW w:w="0" w:type="auto"/>
        <w:tblInd w:w="1290" w:type="dxa"/>
        <w:tblLayout w:type="fixed"/>
        <w:tblCellMar>
          <w:left w:w="0" w:type="dxa"/>
          <w:right w:w="0" w:type="dxa"/>
        </w:tblCellMar>
        <w:tblLook w:val="0000" w:firstRow="0" w:lastRow="0" w:firstColumn="0" w:lastColumn="0" w:noHBand="0" w:noVBand="0"/>
      </w:tblPr>
      <w:tblGrid>
        <w:gridCol w:w="663"/>
        <w:gridCol w:w="1939"/>
        <w:gridCol w:w="1961"/>
        <w:gridCol w:w="1740"/>
      </w:tblGrid>
      <w:tr w:rsidR="0069402E" w:rsidRPr="0069402E">
        <w:trPr>
          <w:trHeight w:hRule="exact" w:val="547"/>
        </w:trPr>
        <w:tc>
          <w:tcPr>
            <w:tcW w:w="663"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3"/>
              <w:rPr>
                <w:sz w:val="23"/>
                <w:szCs w:val="23"/>
              </w:rPr>
            </w:pPr>
          </w:p>
          <w:p w:rsidR="0069402E" w:rsidRPr="0069402E" w:rsidRDefault="0069402E" w:rsidP="0069402E">
            <w:pPr>
              <w:kinsoku w:val="0"/>
              <w:overflowPunct w:val="0"/>
              <w:autoSpaceDE w:val="0"/>
              <w:autoSpaceDN w:val="0"/>
              <w:adjustRightInd w:val="0"/>
              <w:ind w:left="121"/>
            </w:pPr>
            <w:r w:rsidRPr="0069402E">
              <w:rPr>
                <w:rFonts w:ascii="Calibri" w:hAnsi="Calibri" w:cs="Calibri"/>
                <w:b/>
                <w:bCs/>
                <w:spacing w:val="-1"/>
                <w:sz w:val="22"/>
                <w:szCs w:val="22"/>
              </w:rPr>
              <w:t>Year</w:t>
            </w:r>
          </w:p>
        </w:tc>
        <w:tc>
          <w:tcPr>
            <w:tcW w:w="1939"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ind w:left="745" w:right="330" w:hanging="413"/>
            </w:pPr>
            <w:r w:rsidRPr="0069402E">
              <w:rPr>
                <w:rFonts w:ascii="Calibri" w:hAnsi="Calibri" w:cs="Calibri"/>
                <w:b/>
                <w:bCs/>
                <w:sz w:val="22"/>
                <w:szCs w:val="22"/>
              </w:rPr>
              <w:t>Net</w:t>
            </w:r>
            <w:r w:rsidRPr="0069402E">
              <w:rPr>
                <w:rFonts w:ascii="Calibri" w:hAnsi="Calibri" w:cs="Calibri"/>
                <w:b/>
                <w:bCs/>
                <w:spacing w:val="-6"/>
                <w:sz w:val="22"/>
                <w:szCs w:val="22"/>
              </w:rPr>
              <w:t xml:space="preserve"> </w:t>
            </w:r>
            <w:r w:rsidRPr="0069402E">
              <w:rPr>
                <w:rFonts w:ascii="Calibri" w:hAnsi="Calibri" w:cs="Calibri"/>
                <w:b/>
                <w:bCs/>
                <w:spacing w:val="-1"/>
                <w:sz w:val="22"/>
                <w:szCs w:val="22"/>
              </w:rPr>
              <w:t>Revenues</w:t>
            </w:r>
            <w:r w:rsidRPr="0069402E">
              <w:rPr>
                <w:rFonts w:ascii="Calibri" w:hAnsi="Calibri" w:cs="Calibri"/>
                <w:b/>
                <w:bCs/>
                <w:spacing w:val="23"/>
                <w:w w:val="99"/>
                <w:sz w:val="22"/>
                <w:szCs w:val="22"/>
              </w:rPr>
              <w:t xml:space="preserve"> </w:t>
            </w:r>
            <w:r w:rsidRPr="0069402E">
              <w:rPr>
                <w:rFonts w:ascii="Calibri" w:hAnsi="Calibri" w:cs="Calibri"/>
                <w:b/>
                <w:bCs/>
                <w:sz w:val="22"/>
                <w:szCs w:val="22"/>
              </w:rPr>
              <w:t>($M)</w:t>
            </w:r>
          </w:p>
        </w:tc>
        <w:tc>
          <w:tcPr>
            <w:tcW w:w="1961"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ind w:left="373" w:right="373" w:firstLine="328"/>
            </w:pPr>
            <w:r w:rsidRPr="0069402E">
              <w:rPr>
                <w:rFonts w:ascii="Calibri" w:hAnsi="Calibri" w:cs="Calibri"/>
                <w:b/>
                <w:bCs/>
                <w:sz w:val="22"/>
                <w:szCs w:val="22"/>
              </w:rPr>
              <w:t>$M</w:t>
            </w:r>
            <w:r w:rsidRPr="0069402E">
              <w:rPr>
                <w:rFonts w:ascii="Calibri" w:hAnsi="Calibri" w:cs="Calibri"/>
                <w:b/>
                <w:bCs/>
                <w:spacing w:val="-4"/>
                <w:sz w:val="22"/>
                <w:szCs w:val="22"/>
              </w:rPr>
              <w:t xml:space="preserve"> </w:t>
            </w:r>
            <w:r w:rsidRPr="0069402E">
              <w:rPr>
                <w:rFonts w:ascii="Calibri" w:hAnsi="Calibri" w:cs="Calibri"/>
                <w:b/>
                <w:bCs/>
                <w:sz w:val="22"/>
                <w:szCs w:val="22"/>
              </w:rPr>
              <w:t>to</w:t>
            </w:r>
            <w:r w:rsidRPr="0069402E">
              <w:rPr>
                <w:rFonts w:ascii="Calibri" w:hAnsi="Calibri" w:cs="Calibri"/>
                <w:b/>
                <w:bCs/>
                <w:spacing w:val="21"/>
                <w:w w:val="99"/>
                <w:sz w:val="22"/>
                <w:szCs w:val="22"/>
              </w:rPr>
              <w:t xml:space="preserve"> </w:t>
            </w:r>
            <w:r w:rsidRPr="0069402E">
              <w:rPr>
                <w:rFonts w:ascii="Calibri" w:hAnsi="Calibri" w:cs="Calibri"/>
                <w:b/>
                <w:bCs/>
                <w:spacing w:val="-1"/>
                <w:sz w:val="22"/>
                <w:szCs w:val="22"/>
              </w:rPr>
              <w:t>Shareholders</w:t>
            </w:r>
          </w:p>
        </w:tc>
        <w:tc>
          <w:tcPr>
            <w:tcW w:w="1740"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ind w:left="351" w:right="349" w:firstLine="240"/>
            </w:pPr>
            <w:r w:rsidRPr="0069402E">
              <w:rPr>
                <w:rFonts w:ascii="Calibri" w:hAnsi="Calibri" w:cs="Calibri"/>
                <w:b/>
                <w:bCs/>
                <w:sz w:val="22"/>
                <w:szCs w:val="22"/>
              </w:rPr>
              <w:t>$M</w:t>
            </w:r>
            <w:r w:rsidRPr="0069402E">
              <w:rPr>
                <w:rFonts w:ascii="Calibri" w:hAnsi="Calibri" w:cs="Calibri"/>
                <w:b/>
                <w:bCs/>
                <w:spacing w:val="-4"/>
                <w:sz w:val="22"/>
                <w:szCs w:val="22"/>
              </w:rPr>
              <w:t xml:space="preserve"> </w:t>
            </w:r>
            <w:r w:rsidRPr="0069402E">
              <w:rPr>
                <w:rFonts w:ascii="Calibri" w:hAnsi="Calibri" w:cs="Calibri"/>
                <w:b/>
                <w:bCs/>
                <w:sz w:val="22"/>
                <w:szCs w:val="22"/>
              </w:rPr>
              <w:t>to</w:t>
            </w:r>
            <w:r w:rsidRPr="0069402E">
              <w:rPr>
                <w:rFonts w:ascii="Calibri" w:hAnsi="Calibri" w:cs="Calibri"/>
                <w:b/>
                <w:bCs/>
                <w:spacing w:val="21"/>
                <w:w w:val="99"/>
                <w:sz w:val="22"/>
                <w:szCs w:val="22"/>
              </w:rPr>
              <w:t xml:space="preserve"> </w:t>
            </w:r>
            <w:r w:rsidRPr="0069402E">
              <w:rPr>
                <w:rFonts w:ascii="Calibri" w:hAnsi="Calibri" w:cs="Calibri"/>
                <w:b/>
                <w:bCs/>
                <w:spacing w:val="-1"/>
                <w:sz w:val="22"/>
                <w:szCs w:val="22"/>
              </w:rPr>
              <w:t>Ratepayers</w:t>
            </w:r>
          </w:p>
        </w:tc>
      </w:tr>
      <w:tr w:rsidR="0069402E" w:rsidRPr="0069402E">
        <w:trPr>
          <w:trHeight w:hRule="exact" w:val="310"/>
        </w:trPr>
        <w:tc>
          <w:tcPr>
            <w:tcW w:w="663"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104"/>
            </w:pPr>
            <w:r w:rsidRPr="0069402E">
              <w:rPr>
                <w:rFonts w:ascii="Calibri" w:hAnsi="Calibri" w:cs="Calibri"/>
                <w:sz w:val="22"/>
                <w:szCs w:val="22"/>
              </w:rPr>
              <w:t>2008</w:t>
            </w:r>
          </w:p>
        </w:tc>
        <w:tc>
          <w:tcPr>
            <w:tcW w:w="1939"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jc w:val="center"/>
            </w:pPr>
            <w:r w:rsidRPr="0069402E">
              <w:rPr>
                <w:rFonts w:ascii="Calibri" w:hAnsi="Calibri" w:cs="Calibri"/>
                <w:spacing w:val="-1"/>
                <w:sz w:val="22"/>
                <w:szCs w:val="22"/>
              </w:rPr>
              <w:t>$43.9</w:t>
            </w:r>
          </w:p>
        </w:tc>
        <w:tc>
          <w:tcPr>
            <w:tcW w:w="1961"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3"/>
              <w:jc w:val="center"/>
            </w:pPr>
            <w:r w:rsidRPr="0069402E">
              <w:rPr>
                <w:rFonts w:ascii="Calibri" w:hAnsi="Calibri" w:cs="Calibri"/>
                <w:spacing w:val="-1"/>
                <w:sz w:val="22"/>
                <w:szCs w:val="22"/>
              </w:rPr>
              <w:t>$17.56</w:t>
            </w:r>
          </w:p>
        </w:tc>
        <w:tc>
          <w:tcPr>
            <w:tcW w:w="1740"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560"/>
            </w:pPr>
            <w:r w:rsidRPr="0069402E">
              <w:rPr>
                <w:rFonts w:ascii="Calibri" w:hAnsi="Calibri" w:cs="Calibri"/>
                <w:spacing w:val="-1"/>
                <w:sz w:val="22"/>
                <w:szCs w:val="22"/>
              </w:rPr>
              <w:t>$26.34</w:t>
            </w:r>
          </w:p>
        </w:tc>
      </w:tr>
      <w:tr w:rsidR="0069402E" w:rsidRPr="0069402E">
        <w:trPr>
          <w:trHeight w:hRule="exact" w:val="310"/>
        </w:trPr>
        <w:tc>
          <w:tcPr>
            <w:tcW w:w="663"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104"/>
            </w:pPr>
            <w:r w:rsidRPr="0069402E">
              <w:rPr>
                <w:rFonts w:ascii="Calibri" w:hAnsi="Calibri" w:cs="Calibri"/>
                <w:sz w:val="22"/>
                <w:szCs w:val="22"/>
              </w:rPr>
              <w:t>2009</w:t>
            </w:r>
          </w:p>
        </w:tc>
        <w:tc>
          <w:tcPr>
            <w:tcW w:w="1939"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jc w:val="center"/>
            </w:pPr>
            <w:r w:rsidRPr="0069402E">
              <w:rPr>
                <w:rFonts w:ascii="Calibri" w:hAnsi="Calibri" w:cs="Calibri"/>
                <w:spacing w:val="-1"/>
                <w:sz w:val="22"/>
                <w:szCs w:val="22"/>
              </w:rPr>
              <w:t>$58.2</w:t>
            </w:r>
          </w:p>
        </w:tc>
        <w:tc>
          <w:tcPr>
            <w:tcW w:w="1961"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615"/>
            </w:pPr>
            <w:r w:rsidRPr="0069402E">
              <w:rPr>
                <w:rFonts w:ascii="Calibri" w:hAnsi="Calibri" w:cs="Calibri"/>
                <w:spacing w:val="-1"/>
                <w:sz w:val="22"/>
                <w:szCs w:val="22"/>
              </w:rPr>
              <w:t>$20.00*</w:t>
            </w:r>
          </w:p>
        </w:tc>
        <w:tc>
          <w:tcPr>
            <w:tcW w:w="1740"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560"/>
            </w:pPr>
            <w:r w:rsidRPr="0069402E">
              <w:rPr>
                <w:rFonts w:ascii="Calibri" w:hAnsi="Calibri" w:cs="Calibri"/>
                <w:spacing w:val="-1"/>
                <w:sz w:val="22"/>
                <w:szCs w:val="22"/>
              </w:rPr>
              <w:t>$38.20</w:t>
            </w:r>
          </w:p>
        </w:tc>
      </w:tr>
      <w:tr w:rsidR="0069402E" w:rsidRPr="0069402E">
        <w:trPr>
          <w:trHeight w:hRule="exact" w:val="310"/>
        </w:trPr>
        <w:tc>
          <w:tcPr>
            <w:tcW w:w="663"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104"/>
            </w:pPr>
            <w:r w:rsidRPr="0069402E">
              <w:rPr>
                <w:rFonts w:ascii="Calibri" w:hAnsi="Calibri" w:cs="Calibri"/>
                <w:sz w:val="22"/>
                <w:szCs w:val="22"/>
              </w:rPr>
              <w:t>2010</w:t>
            </w:r>
          </w:p>
        </w:tc>
        <w:tc>
          <w:tcPr>
            <w:tcW w:w="1939"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jc w:val="center"/>
            </w:pPr>
            <w:r w:rsidRPr="0069402E">
              <w:rPr>
                <w:rFonts w:ascii="Calibri" w:hAnsi="Calibri" w:cs="Calibri"/>
                <w:spacing w:val="-1"/>
                <w:sz w:val="22"/>
                <w:szCs w:val="22"/>
              </w:rPr>
              <w:t>$48.6</w:t>
            </w:r>
          </w:p>
        </w:tc>
        <w:tc>
          <w:tcPr>
            <w:tcW w:w="1961"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3"/>
              <w:jc w:val="center"/>
            </w:pPr>
            <w:r w:rsidRPr="0069402E">
              <w:rPr>
                <w:rFonts w:ascii="Calibri" w:hAnsi="Calibri" w:cs="Calibri"/>
                <w:spacing w:val="-1"/>
                <w:sz w:val="22"/>
                <w:szCs w:val="22"/>
              </w:rPr>
              <w:t>$19.44</w:t>
            </w:r>
          </w:p>
        </w:tc>
        <w:tc>
          <w:tcPr>
            <w:tcW w:w="1740"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560"/>
            </w:pPr>
            <w:r w:rsidRPr="0069402E">
              <w:rPr>
                <w:rFonts w:ascii="Calibri" w:hAnsi="Calibri" w:cs="Calibri"/>
                <w:spacing w:val="-1"/>
                <w:sz w:val="22"/>
                <w:szCs w:val="22"/>
              </w:rPr>
              <w:t>$29.16</w:t>
            </w:r>
          </w:p>
        </w:tc>
      </w:tr>
      <w:tr w:rsidR="0069402E" w:rsidRPr="0069402E">
        <w:trPr>
          <w:trHeight w:hRule="exact" w:val="310"/>
        </w:trPr>
        <w:tc>
          <w:tcPr>
            <w:tcW w:w="663"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104"/>
            </w:pPr>
            <w:r w:rsidRPr="0069402E">
              <w:rPr>
                <w:rFonts w:ascii="Calibri" w:hAnsi="Calibri" w:cs="Calibri"/>
                <w:sz w:val="22"/>
                <w:szCs w:val="22"/>
              </w:rPr>
              <w:t>2011</w:t>
            </w:r>
          </w:p>
        </w:tc>
        <w:tc>
          <w:tcPr>
            <w:tcW w:w="1939"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jc w:val="center"/>
            </w:pPr>
            <w:r w:rsidRPr="0069402E">
              <w:rPr>
                <w:rFonts w:ascii="Calibri" w:hAnsi="Calibri" w:cs="Calibri"/>
                <w:spacing w:val="-1"/>
                <w:sz w:val="22"/>
                <w:szCs w:val="22"/>
              </w:rPr>
              <w:t>$24.4</w:t>
            </w:r>
          </w:p>
        </w:tc>
        <w:tc>
          <w:tcPr>
            <w:tcW w:w="1961"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3"/>
              <w:jc w:val="center"/>
            </w:pPr>
            <w:r w:rsidRPr="0069402E">
              <w:rPr>
                <w:rFonts w:ascii="Calibri" w:hAnsi="Calibri" w:cs="Calibri"/>
                <w:spacing w:val="-1"/>
                <w:sz w:val="22"/>
                <w:szCs w:val="22"/>
              </w:rPr>
              <w:t>$9.76</w:t>
            </w:r>
          </w:p>
        </w:tc>
        <w:tc>
          <w:tcPr>
            <w:tcW w:w="1740"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560"/>
            </w:pPr>
            <w:r w:rsidRPr="0069402E">
              <w:rPr>
                <w:rFonts w:ascii="Calibri" w:hAnsi="Calibri" w:cs="Calibri"/>
                <w:spacing w:val="-1"/>
                <w:sz w:val="22"/>
                <w:szCs w:val="22"/>
              </w:rPr>
              <w:t>$14.64</w:t>
            </w:r>
          </w:p>
        </w:tc>
      </w:tr>
      <w:tr w:rsidR="0069402E" w:rsidRPr="0069402E">
        <w:trPr>
          <w:trHeight w:hRule="exact" w:val="312"/>
        </w:trPr>
        <w:tc>
          <w:tcPr>
            <w:tcW w:w="663"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32"/>
              <w:ind w:left="104"/>
            </w:pPr>
            <w:r w:rsidRPr="0069402E">
              <w:rPr>
                <w:rFonts w:ascii="Calibri" w:hAnsi="Calibri" w:cs="Calibri"/>
                <w:sz w:val="22"/>
                <w:szCs w:val="22"/>
              </w:rPr>
              <w:t>2012</w:t>
            </w:r>
          </w:p>
        </w:tc>
        <w:tc>
          <w:tcPr>
            <w:tcW w:w="1939"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32"/>
              <w:jc w:val="center"/>
            </w:pPr>
            <w:r w:rsidRPr="0069402E">
              <w:rPr>
                <w:rFonts w:ascii="Calibri" w:hAnsi="Calibri" w:cs="Calibri"/>
                <w:spacing w:val="-1"/>
                <w:sz w:val="22"/>
                <w:szCs w:val="22"/>
              </w:rPr>
              <w:t>$19.6</w:t>
            </w:r>
          </w:p>
        </w:tc>
        <w:tc>
          <w:tcPr>
            <w:tcW w:w="1961"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32"/>
              <w:ind w:left="3"/>
              <w:jc w:val="center"/>
            </w:pPr>
            <w:r w:rsidRPr="0069402E">
              <w:rPr>
                <w:rFonts w:ascii="Calibri" w:hAnsi="Calibri" w:cs="Calibri"/>
                <w:spacing w:val="-1"/>
                <w:sz w:val="22"/>
                <w:szCs w:val="22"/>
              </w:rPr>
              <w:t>$7.84</w:t>
            </w:r>
          </w:p>
        </w:tc>
        <w:tc>
          <w:tcPr>
            <w:tcW w:w="1740"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32"/>
              <w:ind w:left="560"/>
            </w:pPr>
            <w:r w:rsidRPr="0069402E">
              <w:rPr>
                <w:rFonts w:ascii="Calibri" w:hAnsi="Calibri" w:cs="Calibri"/>
                <w:spacing w:val="-1"/>
                <w:sz w:val="22"/>
                <w:szCs w:val="22"/>
              </w:rPr>
              <w:t>$11.76</w:t>
            </w:r>
          </w:p>
        </w:tc>
      </w:tr>
      <w:tr w:rsidR="0069402E" w:rsidRPr="0069402E">
        <w:trPr>
          <w:trHeight w:hRule="exact" w:val="310"/>
        </w:trPr>
        <w:tc>
          <w:tcPr>
            <w:tcW w:w="663"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104"/>
            </w:pPr>
            <w:r w:rsidRPr="0069402E">
              <w:rPr>
                <w:rFonts w:ascii="Calibri" w:hAnsi="Calibri" w:cs="Calibri"/>
                <w:sz w:val="22"/>
                <w:szCs w:val="22"/>
              </w:rPr>
              <w:t>2013</w:t>
            </w:r>
          </w:p>
        </w:tc>
        <w:tc>
          <w:tcPr>
            <w:tcW w:w="1939"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jc w:val="center"/>
            </w:pPr>
            <w:r w:rsidRPr="0069402E">
              <w:rPr>
                <w:rFonts w:ascii="Calibri" w:hAnsi="Calibri" w:cs="Calibri"/>
                <w:sz w:val="22"/>
                <w:szCs w:val="22"/>
              </w:rPr>
              <w:t>$5.6</w:t>
            </w:r>
          </w:p>
        </w:tc>
        <w:tc>
          <w:tcPr>
            <w:tcW w:w="1961"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3"/>
              <w:jc w:val="center"/>
            </w:pPr>
            <w:r w:rsidRPr="0069402E">
              <w:rPr>
                <w:rFonts w:ascii="Calibri" w:hAnsi="Calibri" w:cs="Calibri"/>
                <w:spacing w:val="-1"/>
                <w:sz w:val="22"/>
                <w:szCs w:val="22"/>
              </w:rPr>
              <w:t>$2.24</w:t>
            </w:r>
          </w:p>
        </w:tc>
        <w:tc>
          <w:tcPr>
            <w:tcW w:w="1740"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3"/>
              <w:jc w:val="center"/>
            </w:pPr>
            <w:r w:rsidRPr="0069402E">
              <w:rPr>
                <w:rFonts w:ascii="Calibri" w:hAnsi="Calibri" w:cs="Calibri"/>
                <w:spacing w:val="-1"/>
                <w:sz w:val="22"/>
                <w:szCs w:val="22"/>
              </w:rPr>
              <w:t>$3.36</w:t>
            </w:r>
          </w:p>
        </w:tc>
      </w:tr>
      <w:tr w:rsidR="0069402E" w:rsidRPr="0069402E">
        <w:trPr>
          <w:trHeight w:hRule="exact" w:val="310"/>
        </w:trPr>
        <w:tc>
          <w:tcPr>
            <w:tcW w:w="663"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104"/>
            </w:pPr>
            <w:r w:rsidRPr="0069402E">
              <w:rPr>
                <w:rFonts w:ascii="Calibri" w:hAnsi="Calibri" w:cs="Calibri"/>
                <w:sz w:val="22"/>
                <w:szCs w:val="22"/>
              </w:rPr>
              <w:t>2014</w:t>
            </w:r>
          </w:p>
        </w:tc>
        <w:tc>
          <w:tcPr>
            <w:tcW w:w="1939"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jc w:val="center"/>
            </w:pPr>
            <w:r w:rsidRPr="0069402E">
              <w:rPr>
                <w:rFonts w:ascii="Calibri" w:hAnsi="Calibri" w:cs="Calibri"/>
                <w:sz w:val="22"/>
                <w:szCs w:val="22"/>
              </w:rPr>
              <w:t>$0.0</w:t>
            </w:r>
          </w:p>
        </w:tc>
        <w:tc>
          <w:tcPr>
            <w:tcW w:w="1961"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3"/>
              <w:jc w:val="center"/>
            </w:pPr>
            <w:r w:rsidRPr="0069402E">
              <w:rPr>
                <w:rFonts w:ascii="Calibri" w:hAnsi="Calibri" w:cs="Calibri"/>
                <w:spacing w:val="-1"/>
                <w:sz w:val="22"/>
                <w:szCs w:val="22"/>
              </w:rPr>
              <w:t>$0.00</w:t>
            </w:r>
          </w:p>
        </w:tc>
        <w:tc>
          <w:tcPr>
            <w:tcW w:w="1740"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3"/>
              <w:jc w:val="center"/>
            </w:pPr>
            <w:r w:rsidRPr="0069402E">
              <w:rPr>
                <w:rFonts w:ascii="Calibri" w:hAnsi="Calibri" w:cs="Calibri"/>
                <w:spacing w:val="-1"/>
                <w:sz w:val="22"/>
                <w:szCs w:val="22"/>
              </w:rPr>
              <w:t>$0.00</w:t>
            </w:r>
          </w:p>
        </w:tc>
      </w:tr>
      <w:tr w:rsidR="0069402E" w:rsidRPr="0069402E">
        <w:trPr>
          <w:trHeight w:hRule="exact" w:val="310"/>
        </w:trPr>
        <w:tc>
          <w:tcPr>
            <w:tcW w:w="663"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133"/>
            </w:pPr>
            <w:r w:rsidRPr="0069402E">
              <w:rPr>
                <w:rFonts w:ascii="Calibri" w:hAnsi="Calibri" w:cs="Calibri"/>
                <w:i/>
                <w:iCs/>
                <w:sz w:val="22"/>
                <w:szCs w:val="22"/>
              </w:rPr>
              <w:t>Sum</w:t>
            </w:r>
          </w:p>
        </w:tc>
        <w:tc>
          <w:tcPr>
            <w:tcW w:w="1939"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jc w:val="center"/>
            </w:pPr>
            <w:r w:rsidRPr="0069402E">
              <w:rPr>
                <w:rFonts w:ascii="Calibri" w:hAnsi="Calibri" w:cs="Calibri"/>
                <w:i/>
                <w:iCs/>
                <w:spacing w:val="-1"/>
                <w:sz w:val="22"/>
                <w:szCs w:val="22"/>
              </w:rPr>
              <w:t>$200.3</w:t>
            </w:r>
          </w:p>
        </w:tc>
        <w:tc>
          <w:tcPr>
            <w:tcW w:w="1961"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3"/>
              <w:jc w:val="center"/>
            </w:pPr>
            <w:r w:rsidRPr="0069402E">
              <w:rPr>
                <w:rFonts w:ascii="Calibri" w:hAnsi="Calibri" w:cs="Calibri"/>
                <w:i/>
                <w:iCs/>
                <w:spacing w:val="-1"/>
                <w:sz w:val="22"/>
                <w:szCs w:val="22"/>
              </w:rPr>
              <w:t>$76.8</w:t>
            </w:r>
          </w:p>
        </w:tc>
        <w:tc>
          <w:tcPr>
            <w:tcW w:w="1740" w:type="dxa"/>
            <w:tcBorders>
              <w:top w:val="single" w:sz="3" w:space="0" w:color="000000"/>
              <w:left w:val="single" w:sz="3" w:space="0" w:color="000000"/>
              <w:bottom w:val="single" w:sz="3" w:space="0" w:color="000000"/>
              <w:right w:val="single" w:sz="3" w:space="0" w:color="000000"/>
            </w:tcBorders>
          </w:tcPr>
          <w:p w:rsidR="0069402E" w:rsidRPr="0069402E" w:rsidRDefault="0069402E" w:rsidP="0069402E">
            <w:pPr>
              <w:kinsoku w:val="0"/>
              <w:overflowPunct w:val="0"/>
              <w:autoSpaceDE w:val="0"/>
              <w:autoSpaceDN w:val="0"/>
              <w:adjustRightInd w:val="0"/>
              <w:spacing w:before="29"/>
              <w:ind w:left="560"/>
            </w:pPr>
            <w:r w:rsidRPr="0069402E">
              <w:rPr>
                <w:rFonts w:ascii="Calibri" w:hAnsi="Calibri" w:cs="Calibri"/>
                <w:i/>
                <w:iCs/>
                <w:spacing w:val="-1"/>
                <w:sz w:val="22"/>
                <w:szCs w:val="22"/>
              </w:rPr>
              <w:t>$123.5</w:t>
            </w:r>
          </w:p>
        </w:tc>
      </w:tr>
    </w:tbl>
    <w:p w:rsidR="0069402E" w:rsidRPr="0069402E" w:rsidRDefault="0069402E" w:rsidP="0069402E">
      <w:pPr>
        <w:kinsoku w:val="0"/>
        <w:overflowPunct w:val="0"/>
        <w:autoSpaceDE w:val="0"/>
        <w:autoSpaceDN w:val="0"/>
        <w:adjustRightInd w:val="0"/>
        <w:spacing w:before="3"/>
        <w:rPr>
          <w:sz w:val="27"/>
          <w:szCs w:val="27"/>
        </w:rPr>
      </w:pPr>
    </w:p>
    <w:p w:rsidR="0069402E" w:rsidRPr="0069402E" w:rsidRDefault="0069402E" w:rsidP="0069402E">
      <w:pPr>
        <w:kinsoku w:val="0"/>
        <w:overflowPunct w:val="0"/>
        <w:autoSpaceDE w:val="0"/>
        <w:autoSpaceDN w:val="0"/>
        <w:adjustRightInd w:val="0"/>
        <w:spacing w:before="16"/>
        <w:ind w:left="580"/>
        <w:rPr>
          <w:rFonts w:ascii="Calibri" w:hAnsi="Calibri" w:cs="Calibri"/>
          <w:spacing w:val="-1"/>
          <w:sz w:val="22"/>
          <w:szCs w:val="22"/>
        </w:rPr>
      </w:pPr>
      <w:r w:rsidRPr="0069402E">
        <w:rPr>
          <w:rFonts w:ascii="Calibri" w:hAnsi="Calibri" w:cs="Calibri"/>
          <w:spacing w:val="-1"/>
          <w:sz w:val="22"/>
          <w:szCs w:val="22"/>
        </w:rPr>
        <w:t>*shareholder</w:t>
      </w:r>
      <w:r w:rsidRPr="0069402E">
        <w:rPr>
          <w:rFonts w:ascii="Calibri" w:hAnsi="Calibri" w:cs="Calibri"/>
          <w:spacing w:val="-3"/>
          <w:sz w:val="22"/>
          <w:szCs w:val="22"/>
        </w:rPr>
        <w:t xml:space="preserve"> </w:t>
      </w:r>
      <w:r w:rsidRPr="0069402E">
        <w:rPr>
          <w:rFonts w:ascii="Calibri" w:hAnsi="Calibri" w:cs="Calibri"/>
          <w:sz w:val="22"/>
          <w:szCs w:val="22"/>
        </w:rPr>
        <w:t>cap</w:t>
      </w:r>
      <w:r w:rsidRPr="0069402E">
        <w:rPr>
          <w:rFonts w:ascii="Calibri" w:hAnsi="Calibri" w:cs="Calibri"/>
          <w:spacing w:val="-3"/>
          <w:sz w:val="22"/>
          <w:szCs w:val="22"/>
        </w:rPr>
        <w:t xml:space="preserve"> </w:t>
      </w:r>
      <w:r w:rsidRPr="0069402E">
        <w:rPr>
          <w:rFonts w:ascii="Calibri" w:hAnsi="Calibri" w:cs="Calibri"/>
          <w:spacing w:val="-1"/>
          <w:sz w:val="22"/>
          <w:szCs w:val="22"/>
        </w:rPr>
        <w:t>reached,</w:t>
      </w:r>
      <w:r w:rsidRPr="0069402E">
        <w:rPr>
          <w:rFonts w:ascii="Calibri" w:hAnsi="Calibri" w:cs="Calibri"/>
          <w:spacing w:val="-4"/>
          <w:sz w:val="22"/>
          <w:szCs w:val="22"/>
        </w:rPr>
        <w:t xml:space="preserve"> </w:t>
      </w:r>
      <w:r w:rsidRPr="0069402E">
        <w:rPr>
          <w:rFonts w:ascii="Calibri" w:hAnsi="Calibri" w:cs="Calibri"/>
          <w:spacing w:val="-1"/>
          <w:sz w:val="22"/>
          <w:szCs w:val="22"/>
        </w:rPr>
        <w:t>additional</w:t>
      </w:r>
      <w:r w:rsidRPr="0069402E">
        <w:rPr>
          <w:rFonts w:ascii="Calibri" w:hAnsi="Calibri" w:cs="Calibri"/>
          <w:spacing w:val="-3"/>
          <w:sz w:val="22"/>
          <w:szCs w:val="22"/>
        </w:rPr>
        <w:t xml:space="preserve"> </w:t>
      </w:r>
      <w:r w:rsidRPr="0069402E">
        <w:rPr>
          <w:rFonts w:ascii="Calibri" w:hAnsi="Calibri" w:cs="Calibri"/>
          <w:spacing w:val="-1"/>
          <w:sz w:val="22"/>
          <w:szCs w:val="22"/>
        </w:rPr>
        <w:t>revenues</w:t>
      </w:r>
      <w:r w:rsidRPr="0069402E">
        <w:rPr>
          <w:rFonts w:ascii="Calibri" w:hAnsi="Calibri" w:cs="Calibri"/>
          <w:spacing w:val="-4"/>
          <w:sz w:val="22"/>
          <w:szCs w:val="22"/>
        </w:rPr>
        <w:t xml:space="preserve"> </w:t>
      </w:r>
      <w:r w:rsidRPr="0069402E">
        <w:rPr>
          <w:rFonts w:ascii="Calibri" w:hAnsi="Calibri" w:cs="Calibri"/>
          <w:spacing w:val="-1"/>
          <w:sz w:val="22"/>
          <w:szCs w:val="22"/>
        </w:rPr>
        <w:t>to</w:t>
      </w:r>
      <w:r w:rsidRPr="0069402E">
        <w:rPr>
          <w:rFonts w:ascii="Calibri" w:hAnsi="Calibri" w:cs="Calibri"/>
          <w:spacing w:val="-2"/>
          <w:sz w:val="22"/>
          <w:szCs w:val="22"/>
        </w:rPr>
        <w:t xml:space="preserve"> </w:t>
      </w:r>
      <w:r w:rsidRPr="0069402E">
        <w:rPr>
          <w:rFonts w:ascii="Calibri" w:hAnsi="Calibri" w:cs="Calibri"/>
          <w:spacing w:val="-1"/>
          <w:sz w:val="22"/>
          <w:szCs w:val="22"/>
        </w:rPr>
        <w:t>ratepayers</w:t>
      </w:r>
    </w:p>
    <w:p w:rsidR="00380D6F" w:rsidRDefault="00380D6F" w:rsidP="00380D6F">
      <w:pPr>
        <w:autoSpaceDE w:val="0"/>
        <w:autoSpaceDN w:val="0"/>
        <w:adjustRightInd w:val="0"/>
        <w:rPr>
          <w:rFonts w:ascii="Arial" w:hAnsi="Arial" w:cs="Arial"/>
        </w:rPr>
      </w:pPr>
    </w:p>
    <w:p w:rsidR="00380D6F" w:rsidRPr="00380D6F" w:rsidRDefault="00380D6F" w:rsidP="00380D6F">
      <w:pPr>
        <w:autoSpaceDE w:val="0"/>
        <w:autoSpaceDN w:val="0"/>
        <w:adjustRightInd w:val="0"/>
        <w:rPr>
          <w:rFonts w:ascii="Arial" w:hAnsi="Arial" w:cs="Arial"/>
        </w:rPr>
      </w:pPr>
      <w:r w:rsidRPr="00380D6F">
        <w:rPr>
          <w:rFonts w:ascii="Arial" w:hAnsi="Arial" w:cs="Arial"/>
        </w:rPr>
        <w:t>c. Would SCG and SDG&amp;E agree that a similar table taking into account positive or</w:t>
      </w:r>
    </w:p>
    <w:p w:rsidR="00380D6F" w:rsidRPr="00380D6F" w:rsidRDefault="00380D6F" w:rsidP="00380D6F">
      <w:pPr>
        <w:autoSpaceDE w:val="0"/>
        <w:autoSpaceDN w:val="0"/>
        <w:adjustRightInd w:val="0"/>
        <w:rPr>
          <w:rFonts w:ascii="Arial" w:hAnsi="Arial" w:cs="Arial"/>
        </w:rPr>
      </w:pPr>
      <w:proofErr w:type="gramStart"/>
      <w:r w:rsidRPr="00380D6F">
        <w:rPr>
          <w:rFonts w:ascii="Arial" w:hAnsi="Arial" w:cs="Arial"/>
        </w:rPr>
        <w:t>negative</w:t>
      </w:r>
      <w:proofErr w:type="gramEnd"/>
      <w:r w:rsidRPr="00380D6F">
        <w:rPr>
          <w:rFonts w:ascii="Arial" w:hAnsi="Arial" w:cs="Arial"/>
        </w:rPr>
        <w:t xml:space="preserve"> growth could be formed by multiplying some starting amount by (1 + (growth</w:t>
      </w:r>
    </w:p>
    <w:p w:rsidR="00582C14" w:rsidRPr="00380D6F" w:rsidRDefault="00380D6F" w:rsidP="00380D6F">
      <w:pPr>
        <w:rPr>
          <w:rFonts w:ascii="Arial" w:hAnsi="Arial" w:cs="Arial"/>
        </w:rPr>
      </w:pPr>
      <w:proofErr w:type="gramStart"/>
      <w:r w:rsidRPr="00380D6F">
        <w:rPr>
          <w:rFonts w:ascii="Arial" w:hAnsi="Arial" w:cs="Arial"/>
        </w:rPr>
        <w:t>rate</w:t>
      </w:r>
      <w:proofErr w:type="gramEnd"/>
      <w:r w:rsidRPr="00380D6F">
        <w:rPr>
          <w:rFonts w:ascii="Arial" w:hAnsi="Arial" w:cs="Arial"/>
        </w:rPr>
        <w:t>)) in each subsequent year? If not, please explain.</w:t>
      </w:r>
    </w:p>
    <w:p w:rsidR="005F4287" w:rsidRPr="0031141C" w:rsidRDefault="005F428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3</w:t>
      </w:r>
      <w:r w:rsidRPr="00F759E8">
        <w:rPr>
          <w:rFonts w:ascii="Arial" w:hAnsi="Arial" w:cs="Arial"/>
          <w:b/>
          <w:u w:val="single"/>
        </w:rPr>
        <w:t>:</w:t>
      </w:r>
    </w:p>
    <w:p w:rsidR="00F67377" w:rsidRDefault="00F67377" w:rsidP="005C6E7A">
      <w:pPr>
        <w:rPr>
          <w:rFonts w:ascii="Arial" w:hAnsi="Arial" w:cs="Arial"/>
          <w:sz w:val="28"/>
          <w:szCs w:val="28"/>
        </w:rPr>
      </w:pPr>
    </w:p>
    <w:p w:rsidR="00F67377" w:rsidRPr="009906C4" w:rsidRDefault="009906C4" w:rsidP="00697887">
      <w:pPr>
        <w:numPr>
          <w:ilvl w:val="0"/>
          <w:numId w:val="23"/>
        </w:numPr>
        <w:spacing w:after="120"/>
        <w:rPr>
          <w:rFonts w:ascii="Arial" w:hAnsi="Arial" w:cs="Arial"/>
        </w:rPr>
      </w:pPr>
      <w:r w:rsidRPr="009906C4">
        <w:rPr>
          <w:rFonts w:ascii="Arial" w:hAnsi="Arial" w:cs="Arial"/>
        </w:rPr>
        <w:t>Yes</w:t>
      </w:r>
    </w:p>
    <w:p w:rsidR="009906C4" w:rsidRPr="009A60F6" w:rsidRDefault="0072501F" w:rsidP="009906C4">
      <w:pPr>
        <w:numPr>
          <w:ilvl w:val="0"/>
          <w:numId w:val="23"/>
        </w:numPr>
        <w:rPr>
          <w:rFonts w:ascii="Arial" w:hAnsi="Arial" w:cs="Arial"/>
          <w:sz w:val="28"/>
          <w:szCs w:val="28"/>
        </w:rPr>
      </w:pPr>
      <w:r>
        <w:rPr>
          <w:rFonts w:ascii="Arial" w:hAnsi="Arial" w:cs="Arial"/>
        </w:rPr>
        <w:t>Yes, g</w:t>
      </w:r>
      <w:r w:rsidR="009906C4" w:rsidRPr="009A60F6">
        <w:rPr>
          <w:rFonts w:ascii="Arial" w:hAnsi="Arial" w:cs="Arial"/>
        </w:rPr>
        <w:t xml:space="preserve">iven the </w:t>
      </w:r>
      <w:r w:rsidR="009906C4" w:rsidRPr="00D5051D">
        <w:rPr>
          <w:rFonts w:ascii="Arial" w:hAnsi="Arial" w:cs="Arial"/>
        </w:rPr>
        <w:t>assumption</w:t>
      </w:r>
      <w:r w:rsidR="009906C4" w:rsidRPr="009A60F6">
        <w:rPr>
          <w:rFonts w:ascii="Arial" w:hAnsi="Arial" w:cs="Arial"/>
        </w:rPr>
        <w:t xml:space="preserve"> that revenues would be unchanged in a 60/40 mechanism relativ</w:t>
      </w:r>
      <w:r w:rsidR="00635F5A">
        <w:rPr>
          <w:rFonts w:ascii="Arial" w:hAnsi="Arial" w:cs="Arial"/>
        </w:rPr>
        <w:t>e to current sharing mechanism,</w:t>
      </w:r>
      <w:r>
        <w:rPr>
          <w:rFonts w:ascii="Arial" w:hAnsi="Arial" w:cs="Arial"/>
        </w:rPr>
        <w:t xml:space="preserve"> </w:t>
      </w:r>
      <w:proofErr w:type="spellStart"/>
      <w:r>
        <w:rPr>
          <w:rFonts w:ascii="Arial" w:hAnsi="Arial" w:cs="Arial"/>
        </w:rPr>
        <w:t>SoCalGas</w:t>
      </w:r>
      <w:proofErr w:type="spellEnd"/>
      <w:r>
        <w:rPr>
          <w:rFonts w:ascii="Arial" w:hAnsi="Arial" w:cs="Arial"/>
        </w:rPr>
        <w:t xml:space="preserve"> believes this table provides a reasonable estimate of sharing under a 60/40 sharing mechanism.  However, </w:t>
      </w:r>
      <w:r w:rsidR="009906C4" w:rsidRPr="009A60F6">
        <w:rPr>
          <w:rFonts w:ascii="Arial" w:hAnsi="Arial" w:cs="Arial"/>
        </w:rPr>
        <w:t xml:space="preserve">SoCalGas believes that total net revenues would have been higher than the $200 million shown </w:t>
      </w:r>
      <w:r>
        <w:rPr>
          <w:rFonts w:ascii="Arial" w:hAnsi="Arial" w:cs="Arial"/>
        </w:rPr>
        <w:t xml:space="preserve">in the </w:t>
      </w:r>
      <w:r w:rsidR="009906C4" w:rsidRPr="009A60F6">
        <w:rPr>
          <w:rFonts w:ascii="Arial" w:hAnsi="Arial" w:cs="Arial"/>
        </w:rPr>
        <w:t xml:space="preserve">above </w:t>
      </w:r>
      <w:r>
        <w:rPr>
          <w:rFonts w:ascii="Arial" w:hAnsi="Arial" w:cs="Arial"/>
        </w:rPr>
        <w:t xml:space="preserve">table </w:t>
      </w:r>
      <w:r w:rsidR="008D2D4A">
        <w:rPr>
          <w:rFonts w:ascii="Arial" w:hAnsi="Arial" w:cs="Arial"/>
        </w:rPr>
        <w:t xml:space="preserve">(especially in the 2011-2014 period) </w:t>
      </w:r>
      <w:r w:rsidR="009906C4" w:rsidRPr="009A60F6">
        <w:rPr>
          <w:rFonts w:ascii="Arial" w:hAnsi="Arial" w:cs="Arial"/>
        </w:rPr>
        <w:t xml:space="preserve">under a 60/40 mechanism, resulting in higher benefits to both </w:t>
      </w:r>
      <w:r w:rsidR="009906C4" w:rsidRPr="009A60F6">
        <w:rPr>
          <w:rFonts w:ascii="Arial" w:hAnsi="Arial" w:cs="Arial"/>
        </w:rPr>
        <w:lastRenderedPageBreak/>
        <w:t>shareholders and ratepayers</w:t>
      </w:r>
      <w:r w:rsidR="007D7626" w:rsidRPr="009A60F6">
        <w:rPr>
          <w:rFonts w:ascii="Arial" w:hAnsi="Arial" w:cs="Arial"/>
        </w:rPr>
        <w:t xml:space="preserve"> than shown in this table</w:t>
      </w:r>
      <w:r w:rsidR="009906C4" w:rsidRPr="009A60F6">
        <w:rPr>
          <w:rFonts w:ascii="Arial" w:hAnsi="Arial" w:cs="Arial"/>
        </w:rPr>
        <w:t xml:space="preserve">.  </w:t>
      </w:r>
      <w:r w:rsidR="009A60F6" w:rsidRPr="009A60F6">
        <w:rPr>
          <w:rFonts w:ascii="Arial" w:hAnsi="Arial" w:cs="Arial"/>
        </w:rPr>
        <w:t xml:space="preserve">Conversely, SoCalGas believes that total net revenues would have been lower than $200 million if there had been complete balancing account treatment.  </w:t>
      </w:r>
    </w:p>
    <w:p w:rsidR="009A60F6" w:rsidRPr="009A60F6" w:rsidRDefault="009A60F6" w:rsidP="009A60F6">
      <w:pPr>
        <w:ind w:left="360"/>
        <w:rPr>
          <w:rFonts w:ascii="Arial" w:hAnsi="Arial" w:cs="Arial"/>
          <w:sz w:val="28"/>
          <w:szCs w:val="28"/>
        </w:rPr>
      </w:pPr>
    </w:p>
    <w:p w:rsidR="00F67377" w:rsidRDefault="00697887" w:rsidP="006760AE">
      <w:pPr>
        <w:numPr>
          <w:ilvl w:val="0"/>
          <w:numId w:val="23"/>
        </w:numPr>
        <w:rPr>
          <w:rFonts w:ascii="Arial" w:hAnsi="Arial" w:cs="Arial"/>
          <w:b/>
          <w:u w:val="single"/>
        </w:rPr>
      </w:pPr>
      <w:r>
        <w:rPr>
          <w:rFonts w:ascii="Arial" w:hAnsi="Arial" w:cs="Arial"/>
        </w:rPr>
        <w:t>It is not clear how one would come up with growth/decline factors for various incentive mechanism levels.  Fu</w:t>
      </w:r>
      <w:r w:rsidR="002633A4">
        <w:rPr>
          <w:rFonts w:ascii="Arial" w:hAnsi="Arial" w:cs="Arial"/>
        </w:rPr>
        <w:t>r</w:t>
      </w:r>
      <w:r>
        <w:rPr>
          <w:rFonts w:ascii="Arial" w:hAnsi="Arial" w:cs="Arial"/>
        </w:rPr>
        <w:t xml:space="preserve">thermore, those factors could not be applied to the net revenue column, since </w:t>
      </w:r>
      <w:r w:rsidR="004D402B">
        <w:rPr>
          <w:rFonts w:ascii="Arial" w:hAnsi="Arial" w:cs="Arial"/>
        </w:rPr>
        <w:t xml:space="preserve">the </w:t>
      </w:r>
      <w:r>
        <w:rPr>
          <w:rFonts w:ascii="Arial" w:hAnsi="Arial" w:cs="Arial"/>
        </w:rPr>
        <w:t>incentive mechanisms only affect revenues, not costs.</w:t>
      </w:r>
      <w:r w:rsidR="00F67377">
        <w:rPr>
          <w:rFonts w:ascii="Arial" w:hAnsi="Arial" w:cs="Arial"/>
          <w:b/>
          <w:u w:val="single"/>
        </w:rPr>
        <w:br w:type="page"/>
      </w:r>
    </w:p>
    <w:p w:rsidR="00F67377" w:rsidRPr="0031141C" w:rsidRDefault="00F67377" w:rsidP="00F67377">
      <w:pPr>
        <w:rPr>
          <w:rFonts w:ascii="Arial" w:hAnsi="Arial" w:cs="Arial"/>
          <w:b/>
        </w:rPr>
      </w:pPr>
      <w:r w:rsidRPr="00F759E8">
        <w:rPr>
          <w:rFonts w:ascii="Arial" w:hAnsi="Arial" w:cs="Arial"/>
          <w:b/>
          <w:u w:val="single"/>
        </w:rPr>
        <w:lastRenderedPageBreak/>
        <w:t xml:space="preserve">QUESTION </w:t>
      </w:r>
      <w:r>
        <w:rPr>
          <w:rFonts w:ascii="Arial" w:hAnsi="Arial" w:cs="Arial"/>
          <w:b/>
          <w:u w:val="single"/>
        </w:rPr>
        <w:t>4</w:t>
      </w:r>
      <w:r w:rsidRPr="00F759E8">
        <w:rPr>
          <w:rFonts w:ascii="Arial" w:hAnsi="Arial" w:cs="Arial"/>
          <w:b/>
          <w:u w:val="single"/>
        </w:rPr>
        <w:t>:</w:t>
      </w:r>
    </w:p>
    <w:p w:rsidR="00582C14" w:rsidRPr="0031141C" w:rsidRDefault="00582C14" w:rsidP="00F67377">
      <w:pPr>
        <w:rPr>
          <w:rFonts w:ascii="Arial" w:hAnsi="Arial" w:cs="Arial"/>
        </w:rPr>
      </w:pPr>
    </w:p>
    <w:p w:rsidR="00380D6F" w:rsidRDefault="00380D6F" w:rsidP="00380D6F">
      <w:pPr>
        <w:autoSpaceDE w:val="0"/>
        <w:autoSpaceDN w:val="0"/>
        <w:adjustRightInd w:val="0"/>
        <w:rPr>
          <w:rFonts w:ascii="Arial" w:hAnsi="Arial" w:cs="Arial"/>
        </w:rPr>
      </w:pPr>
      <w:r w:rsidRPr="00380D6F">
        <w:rPr>
          <w:rFonts w:ascii="Arial" w:hAnsi="Arial" w:cs="Arial"/>
        </w:rPr>
        <w:t>In Response 11 of ORA data request ORA-DR-02, Sempra stated “Directionally, net storage</w:t>
      </w:r>
      <w:r>
        <w:rPr>
          <w:rFonts w:ascii="Arial" w:hAnsi="Arial" w:cs="Arial"/>
        </w:rPr>
        <w:t xml:space="preserve"> </w:t>
      </w:r>
      <w:r w:rsidRPr="00380D6F">
        <w:rPr>
          <w:rFonts w:ascii="Arial" w:hAnsi="Arial" w:cs="Arial"/>
        </w:rPr>
        <w:t>revenues would have been higher under the 60/40 mechanism than under the current mechanism –</w:t>
      </w:r>
      <w:r>
        <w:rPr>
          <w:rFonts w:ascii="Arial" w:hAnsi="Arial" w:cs="Arial"/>
        </w:rPr>
        <w:t xml:space="preserve"> </w:t>
      </w:r>
      <w:r w:rsidRPr="00380D6F">
        <w:rPr>
          <w:rFonts w:ascii="Arial" w:hAnsi="Arial" w:cs="Arial"/>
        </w:rPr>
        <w:t>especially in the last few years.”</w:t>
      </w:r>
      <w:r>
        <w:rPr>
          <w:rFonts w:ascii="Arial" w:hAnsi="Arial" w:cs="Arial"/>
        </w:rPr>
        <w:t xml:space="preserve"> </w:t>
      </w:r>
    </w:p>
    <w:p w:rsidR="00380D6F" w:rsidRDefault="00380D6F" w:rsidP="00380D6F">
      <w:pPr>
        <w:autoSpaceDE w:val="0"/>
        <w:autoSpaceDN w:val="0"/>
        <w:adjustRightInd w:val="0"/>
        <w:rPr>
          <w:rFonts w:ascii="Arial" w:hAnsi="Arial" w:cs="Arial"/>
        </w:rPr>
      </w:pPr>
    </w:p>
    <w:p w:rsidR="005F4287" w:rsidRPr="00380D6F" w:rsidRDefault="00380D6F" w:rsidP="00380D6F">
      <w:pPr>
        <w:autoSpaceDE w:val="0"/>
        <w:autoSpaceDN w:val="0"/>
        <w:adjustRightInd w:val="0"/>
        <w:rPr>
          <w:rFonts w:ascii="Arial" w:hAnsi="Arial" w:cs="Arial"/>
        </w:rPr>
      </w:pPr>
      <w:r w:rsidRPr="00380D6F">
        <w:rPr>
          <w:rFonts w:ascii="Arial" w:hAnsi="Arial" w:cs="Arial"/>
        </w:rPr>
        <w:t>Please explain how and from what data this conclusion was drawn, and provide all information or</w:t>
      </w:r>
      <w:r>
        <w:rPr>
          <w:rFonts w:ascii="Arial" w:hAnsi="Arial" w:cs="Arial"/>
        </w:rPr>
        <w:t xml:space="preserve"> </w:t>
      </w:r>
      <w:r w:rsidRPr="00380D6F">
        <w:rPr>
          <w:rFonts w:ascii="Arial" w:hAnsi="Arial" w:cs="Arial"/>
        </w:rPr>
        <w:t>data demonstrating a causal effect between incentive mechanism and net unbundled storage</w:t>
      </w:r>
      <w:r>
        <w:rPr>
          <w:rFonts w:ascii="Arial" w:hAnsi="Arial" w:cs="Arial"/>
        </w:rPr>
        <w:t xml:space="preserve"> </w:t>
      </w:r>
      <w:r w:rsidRPr="00380D6F">
        <w:rPr>
          <w:rFonts w:ascii="Arial" w:hAnsi="Arial" w:cs="Arial"/>
        </w:rPr>
        <w:t>revenues. If SCG/SDG&amp;E has no information supporting this conclusion, please state as such.</w:t>
      </w:r>
    </w:p>
    <w:p w:rsidR="005F4287" w:rsidRPr="00380D6F" w:rsidRDefault="005F4287" w:rsidP="00F67377">
      <w:pPr>
        <w:rPr>
          <w:rFonts w:ascii="Arial" w:hAnsi="Arial" w:cs="Arial"/>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4</w:t>
      </w:r>
      <w:r w:rsidRPr="00F759E8">
        <w:rPr>
          <w:rFonts w:ascii="Arial" w:hAnsi="Arial" w:cs="Arial"/>
          <w:b/>
          <w:u w:val="single"/>
        </w:rPr>
        <w:t>:</w:t>
      </w:r>
    </w:p>
    <w:p w:rsidR="00F67377" w:rsidRDefault="00F67377" w:rsidP="005C6E7A">
      <w:pPr>
        <w:rPr>
          <w:rFonts w:ascii="Arial" w:hAnsi="Arial" w:cs="Arial"/>
          <w:sz w:val="28"/>
          <w:szCs w:val="28"/>
        </w:rPr>
      </w:pPr>
    </w:p>
    <w:p w:rsidR="009D52D8" w:rsidRDefault="009D52D8" w:rsidP="005C6E7A">
      <w:pPr>
        <w:rPr>
          <w:rFonts w:ascii="Arial" w:hAnsi="Arial" w:cs="Arial"/>
        </w:rPr>
      </w:pPr>
      <w:r>
        <w:rPr>
          <w:rFonts w:ascii="Arial" w:hAnsi="Arial" w:cs="Arial"/>
        </w:rPr>
        <w:t xml:space="preserve">The assertion is based on </w:t>
      </w:r>
      <w:r w:rsidR="0072501F">
        <w:rPr>
          <w:rFonts w:ascii="Arial" w:hAnsi="Arial" w:cs="Arial"/>
        </w:rPr>
        <w:t>the position that i</w:t>
      </w:r>
      <w:r>
        <w:rPr>
          <w:rFonts w:ascii="Arial" w:hAnsi="Arial" w:cs="Arial"/>
        </w:rPr>
        <w:t xml:space="preserve">ncentives are used to </w:t>
      </w:r>
      <w:r w:rsidR="006760AE" w:rsidRPr="00286828">
        <w:rPr>
          <w:rFonts w:ascii="Arial" w:hAnsi="Arial" w:cs="Arial"/>
        </w:rPr>
        <w:t xml:space="preserve">motivate innovation and hard work.  </w:t>
      </w:r>
      <w:r>
        <w:rPr>
          <w:rFonts w:ascii="Arial" w:hAnsi="Arial" w:cs="Arial"/>
        </w:rPr>
        <w:t>The larger the incentives are, the stronger the impact of those incentives.</w:t>
      </w:r>
    </w:p>
    <w:p w:rsidR="009D52D8" w:rsidRDefault="009D52D8" w:rsidP="005C6E7A">
      <w:pPr>
        <w:rPr>
          <w:rFonts w:ascii="Arial" w:hAnsi="Arial" w:cs="Arial"/>
        </w:rPr>
      </w:pPr>
    </w:p>
    <w:p w:rsidR="008F1475" w:rsidRDefault="008F1475" w:rsidP="005C6E7A">
      <w:pPr>
        <w:rPr>
          <w:rFonts w:ascii="Arial" w:hAnsi="Arial" w:cs="Arial"/>
        </w:rPr>
      </w:pPr>
    </w:p>
    <w:p w:rsidR="00AB7965" w:rsidRPr="00286828" w:rsidRDefault="00AB7965" w:rsidP="005C6E7A">
      <w:pPr>
        <w:rPr>
          <w:rFonts w:ascii="Arial" w:hAnsi="Arial" w:cs="Arial"/>
        </w:rPr>
      </w:pPr>
    </w:p>
    <w:p w:rsidR="00F67377" w:rsidRDefault="00F67377" w:rsidP="00F67377">
      <w:pPr>
        <w:rPr>
          <w:rFonts w:ascii="Arial" w:hAnsi="Arial" w:cs="Arial"/>
          <w:b/>
          <w:u w:val="single"/>
        </w:rPr>
      </w:pPr>
      <w:r w:rsidRPr="00286828">
        <w:rPr>
          <w:rFonts w:ascii="Arial" w:hAnsi="Arial" w:cs="Arial"/>
        </w:rPr>
        <w:br w:type="page"/>
      </w:r>
    </w:p>
    <w:p w:rsidR="00F67377" w:rsidRPr="0031141C" w:rsidRDefault="00F67377" w:rsidP="00F67377">
      <w:pPr>
        <w:rPr>
          <w:rFonts w:ascii="Arial" w:hAnsi="Arial" w:cs="Arial"/>
          <w:b/>
        </w:rPr>
      </w:pPr>
      <w:r w:rsidRPr="00F759E8">
        <w:rPr>
          <w:rFonts w:ascii="Arial" w:hAnsi="Arial" w:cs="Arial"/>
          <w:b/>
          <w:u w:val="single"/>
        </w:rPr>
        <w:lastRenderedPageBreak/>
        <w:t xml:space="preserve">QUESTION </w:t>
      </w:r>
      <w:r>
        <w:rPr>
          <w:rFonts w:ascii="Arial" w:hAnsi="Arial" w:cs="Arial"/>
          <w:b/>
          <w:u w:val="single"/>
        </w:rPr>
        <w:t>5</w:t>
      </w:r>
      <w:r w:rsidRPr="00F759E8">
        <w:rPr>
          <w:rFonts w:ascii="Arial" w:hAnsi="Arial" w:cs="Arial"/>
          <w:b/>
          <w:u w:val="single"/>
        </w:rPr>
        <w:t>:</w:t>
      </w:r>
    </w:p>
    <w:p w:rsidR="005F4287" w:rsidRPr="0031141C" w:rsidRDefault="005F4287" w:rsidP="00F67377">
      <w:pPr>
        <w:rPr>
          <w:rFonts w:ascii="Arial" w:hAnsi="Arial" w:cs="Arial"/>
        </w:rPr>
      </w:pPr>
    </w:p>
    <w:p w:rsidR="00380D6F" w:rsidRDefault="00380D6F" w:rsidP="00380D6F">
      <w:pPr>
        <w:autoSpaceDE w:val="0"/>
        <w:autoSpaceDN w:val="0"/>
        <w:adjustRightInd w:val="0"/>
        <w:rPr>
          <w:rFonts w:ascii="Arial" w:hAnsi="Arial" w:cs="Arial"/>
        </w:rPr>
      </w:pPr>
      <w:r w:rsidRPr="00380D6F">
        <w:rPr>
          <w:rFonts w:ascii="Arial" w:hAnsi="Arial" w:cs="Arial"/>
        </w:rPr>
        <w:t>In reference to the “creative product marketing” for unbundled gas storage referenced in Ms.</w:t>
      </w:r>
      <w:r>
        <w:rPr>
          <w:rFonts w:ascii="Arial" w:hAnsi="Arial" w:cs="Arial"/>
        </w:rPr>
        <w:t xml:space="preserve"> </w:t>
      </w:r>
      <w:proofErr w:type="spellStart"/>
      <w:r w:rsidRPr="00380D6F">
        <w:rPr>
          <w:rFonts w:ascii="Arial" w:hAnsi="Arial" w:cs="Arial"/>
        </w:rPr>
        <w:t>Marelli’s</w:t>
      </w:r>
      <w:proofErr w:type="spellEnd"/>
      <w:r w:rsidRPr="00380D6F">
        <w:rPr>
          <w:rFonts w:ascii="Arial" w:hAnsi="Arial" w:cs="Arial"/>
        </w:rPr>
        <w:t xml:space="preserve"> testimony (Marelli testimony, pages 1-2, lines 23 and 1, respectively):</w:t>
      </w:r>
    </w:p>
    <w:p w:rsidR="00380D6F" w:rsidRPr="00380D6F" w:rsidRDefault="00380D6F" w:rsidP="00380D6F">
      <w:pPr>
        <w:autoSpaceDE w:val="0"/>
        <w:autoSpaceDN w:val="0"/>
        <w:adjustRightInd w:val="0"/>
        <w:rPr>
          <w:rFonts w:ascii="Arial" w:hAnsi="Arial" w:cs="Arial"/>
        </w:rPr>
      </w:pPr>
    </w:p>
    <w:p w:rsidR="00380D6F" w:rsidRDefault="00380D6F" w:rsidP="00380D6F">
      <w:pPr>
        <w:numPr>
          <w:ilvl w:val="0"/>
          <w:numId w:val="21"/>
        </w:numPr>
        <w:autoSpaceDE w:val="0"/>
        <w:autoSpaceDN w:val="0"/>
        <w:adjustRightInd w:val="0"/>
        <w:rPr>
          <w:rFonts w:ascii="Arial" w:hAnsi="Arial" w:cs="Arial"/>
        </w:rPr>
      </w:pPr>
      <w:r w:rsidRPr="00380D6F">
        <w:rPr>
          <w:rFonts w:ascii="Arial" w:hAnsi="Arial" w:cs="Arial"/>
        </w:rPr>
        <w:t>Do SCG and SDG&amp;E currently have (or have they had in the last 10 years) any marketing</w:t>
      </w:r>
      <w:r>
        <w:rPr>
          <w:rFonts w:ascii="Arial" w:hAnsi="Arial" w:cs="Arial"/>
        </w:rPr>
        <w:t xml:space="preserve"> </w:t>
      </w:r>
      <w:r w:rsidRPr="00380D6F">
        <w:rPr>
          <w:rFonts w:ascii="Arial" w:hAnsi="Arial" w:cs="Arial"/>
        </w:rPr>
        <w:t>programs (creative or not) related to unbundled natural gas storage? If so, please describe</w:t>
      </w:r>
      <w:r>
        <w:rPr>
          <w:rFonts w:ascii="Arial" w:hAnsi="Arial" w:cs="Arial"/>
        </w:rPr>
        <w:t xml:space="preserve"> </w:t>
      </w:r>
      <w:r w:rsidRPr="00380D6F">
        <w:rPr>
          <w:rFonts w:ascii="Arial" w:hAnsi="Arial" w:cs="Arial"/>
        </w:rPr>
        <w:t>their date of creation; purpose, goals or aims; history (i.e. if the program has changed</w:t>
      </w:r>
      <w:r>
        <w:rPr>
          <w:rFonts w:ascii="Arial" w:hAnsi="Arial" w:cs="Arial"/>
        </w:rPr>
        <w:t xml:space="preserve"> </w:t>
      </w:r>
      <w:r w:rsidRPr="00380D6F">
        <w:rPr>
          <w:rFonts w:ascii="Arial" w:hAnsi="Arial" w:cs="Arial"/>
        </w:rPr>
        <w:t>significantly since inception); and scope.</w:t>
      </w:r>
    </w:p>
    <w:p w:rsidR="00380D6F" w:rsidRPr="00380D6F" w:rsidRDefault="00380D6F" w:rsidP="00380D6F">
      <w:pPr>
        <w:autoSpaceDE w:val="0"/>
        <w:autoSpaceDN w:val="0"/>
        <w:adjustRightInd w:val="0"/>
        <w:ind w:left="720"/>
        <w:rPr>
          <w:rFonts w:ascii="Arial" w:hAnsi="Arial" w:cs="Arial"/>
        </w:rPr>
      </w:pPr>
    </w:p>
    <w:p w:rsidR="00380D6F" w:rsidRDefault="00380D6F" w:rsidP="00380D6F">
      <w:pPr>
        <w:numPr>
          <w:ilvl w:val="0"/>
          <w:numId w:val="21"/>
        </w:numPr>
        <w:autoSpaceDE w:val="0"/>
        <w:autoSpaceDN w:val="0"/>
        <w:adjustRightInd w:val="0"/>
        <w:rPr>
          <w:rFonts w:ascii="Arial" w:hAnsi="Arial" w:cs="Arial"/>
        </w:rPr>
      </w:pPr>
      <w:r w:rsidRPr="00380D6F">
        <w:rPr>
          <w:rFonts w:ascii="Arial" w:hAnsi="Arial" w:cs="Arial"/>
        </w:rPr>
        <w:t>If the answer to part (a) is yes, do SCG and SDG&amp;E have (or have they had in the last 10</w:t>
      </w:r>
      <w:r>
        <w:rPr>
          <w:rFonts w:ascii="Arial" w:hAnsi="Arial" w:cs="Arial"/>
        </w:rPr>
        <w:t xml:space="preserve"> </w:t>
      </w:r>
      <w:r w:rsidRPr="00380D6F">
        <w:rPr>
          <w:rFonts w:ascii="Arial" w:hAnsi="Arial" w:cs="Arial"/>
        </w:rPr>
        <w:t>years) any measures, metrics, analyses, or similar devices/programs to measure the</w:t>
      </w:r>
      <w:r>
        <w:rPr>
          <w:rFonts w:ascii="Arial" w:hAnsi="Arial" w:cs="Arial"/>
        </w:rPr>
        <w:t xml:space="preserve"> </w:t>
      </w:r>
      <w:r w:rsidRPr="00380D6F">
        <w:rPr>
          <w:rFonts w:ascii="Arial" w:hAnsi="Arial" w:cs="Arial"/>
        </w:rPr>
        <w:t>effectiveness and/or impact of these marketing programs?</w:t>
      </w:r>
    </w:p>
    <w:p w:rsidR="00380D6F" w:rsidRDefault="00380D6F" w:rsidP="00380D6F">
      <w:pPr>
        <w:pStyle w:val="ListParagraph"/>
        <w:rPr>
          <w:rFonts w:ascii="Arial" w:hAnsi="Arial" w:cs="Arial"/>
        </w:rPr>
      </w:pPr>
    </w:p>
    <w:p w:rsidR="00380D6F" w:rsidRDefault="00380D6F" w:rsidP="00380D6F">
      <w:pPr>
        <w:autoSpaceDE w:val="0"/>
        <w:autoSpaceDN w:val="0"/>
        <w:adjustRightInd w:val="0"/>
        <w:ind w:left="630" w:hanging="270"/>
        <w:rPr>
          <w:rFonts w:ascii="Arial" w:hAnsi="Arial" w:cs="Arial"/>
        </w:rPr>
      </w:pPr>
      <w:r w:rsidRPr="00380D6F">
        <w:rPr>
          <w:rFonts w:ascii="Arial" w:hAnsi="Arial" w:cs="Arial"/>
        </w:rPr>
        <w:t>c. If the answer to part (b) is yes, please provide the results of these measures, metrics,</w:t>
      </w:r>
      <w:r>
        <w:rPr>
          <w:rFonts w:ascii="Arial" w:hAnsi="Arial" w:cs="Arial"/>
        </w:rPr>
        <w:t xml:space="preserve"> </w:t>
      </w:r>
      <w:r w:rsidRPr="00380D6F">
        <w:rPr>
          <w:rFonts w:ascii="Arial" w:hAnsi="Arial" w:cs="Arial"/>
        </w:rPr>
        <w:t>analyses, or similar devices/programs.</w:t>
      </w:r>
      <w:r>
        <w:rPr>
          <w:rFonts w:ascii="Arial" w:hAnsi="Arial" w:cs="Arial"/>
        </w:rPr>
        <w:t xml:space="preserve"> </w:t>
      </w:r>
    </w:p>
    <w:p w:rsidR="00380D6F" w:rsidRDefault="00380D6F" w:rsidP="00380D6F">
      <w:pPr>
        <w:autoSpaceDE w:val="0"/>
        <w:autoSpaceDN w:val="0"/>
        <w:adjustRightInd w:val="0"/>
        <w:ind w:firstLine="360"/>
        <w:rPr>
          <w:rFonts w:ascii="Arial" w:hAnsi="Arial" w:cs="Arial"/>
        </w:rPr>
      </w:pPr>
    </w:p>
    <w:p w:rsidR="00582C14" w:rsidRPr="00380D6F" w:rsidRDefault="00380D6F" w:rsidP="00380D6F">
      <w:pPr>
        <w:autoSpaceDE w:val="0"/>
        <w:autoSpaceDN w:val="0"/>
        <w:adjustRightInd w:val="0"/>
        <w:ind w:left="630" w:hanging="270"/>
        <w:rPr>
          <w:rFonts w:ascii="Arial" w:hAnsi="Arial" w:cs="Arial"/>
        </w:rPr>
      </w:pPr>
      <w:r w:rsidRPr="00380D6F">
        <w:rPr>
          <w:rFonts w:ascii="Arial" w:hAnsi="Arial" w:cs="Arial"/>
        </w:rPr>
        <w:t>d. If the answer to part (a) is yes and if the change to the revenue-sharing requirement were</w:t>
      </w:r>
      <w:r>
        <w:rPr>
          <w:rFonts w:ascii="Arial" w:hAnsi="Arial" w:cs="Arial"/>
        </w:rPr>
        <w:t xml:space="preserve"> </w:t>
      </w:r>
      <w:r w:rsidRPr="00380D6F">
        <w:rPr>
          <w:rFonts w:ascii="Arial" w:hAnsi="Arial" w:cs="Arial"/>
        </w:rPr>
        <w:t>to be approved as requested, would SCG and SDG&amp;E extend or continue these marketing</w:t>
      </w:r>
      <w:r>
        <w:rPr>
          <w:rFonts w:ascii="Arial" w:hAnsi="Arial" w:cs="Arial"/>
        </w:rPr>
        <w:t xml:space="preserve"> </w:t>
      </w:r>
      <w:r w:rsidRPr="00380D6F">
        <w:rPr>
          <w:rFonts w:ascii="Arial" w:hAnsi="Arial" w:cs="Arial"/>
        </w:rPr>
        <w:t>programs?</w:t>
      </w:r>
    </w:p>
    <w:p w:rsidR="00F67377" w:rsidRPr="0031141C" w:rsidRDefault="00F67377" w:rsidP="00F67377">
      <w:pPr>
        <w:rPr>
          <w:rFonts w:ascii="Arial" w:hAnsi="Arial" w:cs="Arial"/>
        </w:rPr>
      </w:pPr>
    </w:p>
    <w:p w:rsidR="00380D6F" w:rsidRDefault="00380D6F"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5</w:t>
      </w:r>
      <w:r w:rsidRPr="00F759E8">
        <w:rPr>
          <w:rFonts w:ascii="Arial" w:hAnsi="Arial" w:cs="Arial"/>
          <w:b/>
          <w:u w:val="single"/>
        </w:rPr>
        <w:t>:</w:t>
      </w:r>
    </w:p>
    <w:p w:rsidR="00F67377" w:rsidRDefault="00F67377" w:rsidP="005C6E7A">
      <w:pPr>
        <w:rPr>
          <w:rFonts w:ascii="Arial" w:hAnsi="Arial" w:cs="Arial"/>
          <w:sz w:val="28"/>
          <w:szCs w:val="28"/>
        </w:rPr>
      </w:pPr>
    </w:p>
    <w:p w:rsidR="00F67377" w:rsidRDefault="00F67377" w:rsidP="005C6E7A">
      <w:pPr>
        <w:rPr>
          <w:rFonts w:ascii="Arial" w:hAnsi="Arial" w:cs="Arial"/>
          <w:sz w:val="28"/>
          <w:szCs w:val="28"/>
        </w:rPr>
      </w:pPr>
    </w:p>
    <w:p w:rsidR="0072501F" w:rsidRPr="00D5051D" w:rsidRDefault="009A6CE1" w:rsidP="00F67377">
      <w:pPr>
        <w:numPr>
          <w:ilvl w:val="0"/>
          <w:numId w:val="24"/>
        </w:numPr>
        <w:rPr>
          <w:rFonts w:ascii="Arial" w:hAnsi="Arial" w:cs="Arial"/>
          <w:b/>
          <w:u w:val="single"/>
        </w:rPr>
      </w:pPr>
      <w:r w:rsidRPr="004961DE">
        <w:rPr>
          <w:rFonts w:ascii="Arial" w:hAnsi="Arial" w:cs="Arial"/>
        </w:rPr>
        <w:t xml:space="preserve"> No. SoCalGas has a sales staff of two.</w:t>
      </w:r>
      <w:r w:rsidR="00697887">
        <w:rPr>
          <w:rFonts w:ascii="Arial" w:hAnsi="Arial" w:cs="Arial"/>
        </w:rPr>
        <w:t xml:space="preserve">  By creative product marketing SoCalGas is referring to the increasing myriad of storage and Hub products SoCalGas offers</w:t>
      </w:r>
      <w:r w:rsidR="007F133D">
        <w:rPr>
          <w:rFonts w:ascii="Arial" w:hAnsi="Arial" w:cs="Arial"/>
        </w:rPr>
        <w:t xml:space="preserve">, which requires more marketing effort </w:t>
      </w:r>
      <w:r w:rsidR="003C3D7E">
        <w:rPr>
          <w:rFonts w:ascii="Arial" w:hAnsi="Arial" w:cs="Arial"/>
        </w:rPr>
        <w:t xml:space="preserve">by those sales personnel </w:t>
      </w:r>
      <w:r w:rsidR="007F133D">
        <w:rPr>
          <w:rFonts w:ascii="Arial" w:hAnsi="Arial" w:cs="Arial"/>
        </w:rPr>
        <w:t xml:space="preserve">and </w:t>
      </w:r>
      <w:r w:rsidR="003C3D7E">
        <w:rPr>
          <w:rFonts w:ascii="Arial" w:hAnsi="Arial" w:cs="Arial"/>
        </w:rPr>
        <w:t xml:space="preserve">by </w:t>
      </w:r>
      <w:r w:rsidR="00AB7965">
        <w:rPr>
          <w:rFonts w:ascii="Arial" w:hAnsi="Arial" w:cs="Arial"/>
        </w:rPr>
        <w:t xml:space="preserve">their </w:t>
      </w:r>
      <w:r w:rsidR="007F133D">
        <w:rPr>
          <w:rFonts w:ascii="Arial" w:hAnsi="Arial" w:cs="Arial"/>
        </w:rPr>
        <w:t>staff support.</w:t>
      </w:r>
    </w:p>
    <w:p w:rsidR="0072501F" w:rsidRDefault="0072501F" w:rsidP="00D5051D">
      <w:pPr>
        <w:ind w:left="720"/>
        <w:rPr>
          <w:rFonts w:ascii="Arial" w:hAnsi="Arial" w:cs="Arial"/>
        </w:rPr>
      </w:pPr>
    </w:p>
    <w:p w:rsidR="0072501F" w:rsidRPr="00D5051D" w:rsidRDefault="0072501F" w:rsidP="00D5051D">
      <w:pPr>
        <w:pStyle w:val="ListParagraph"/>
        <w:numPr>
          <w:ilvl w:val="0"/>
          <w:numId w:val="24"/>
        </w:numPr>
        <w:rPr>
          <w:rFonts w:ascii="Arial" w:hAnsi="Arial" w:cs="Arial"/>
        </w:rPr>
      </w:pPr>
      <w:r w:rsidRPr="00D5051D">
        <w:rPr>
          <w:rFonts w:ascii="Arial" w:hAnsi="Arial" w:cs="Arial"/>
        </w:rPr>
        <w:t>N/A</w:t>
      </w:r>
    </w:p>
    <w:p w:rsidR="0072501F" w:rsidRDefault="0072501F" w:rsidP="00D5051D">
      <w:pPr>
        <w:ind w:left="360"/>
        <w:rPr>
          <w:rFonts w:ascii="Arial" w:hAnsi="Arial" w:cs="Arial"/>
        </w:rPr>
      </w:pPr>
    </w:p>
    <w:p w:rsidR="0072501F" w:rsidRDefault="0072501F" w:rsidP="00D5051D">
      <w:pPr>
        <w:pStyle w:val="ListParagraph"/>
        <w:numPr>
          <w:ilvl w:val="0"/>
          <w:numId w:val="24"/>
        </w:numPr>
        <w:rPr>
          <w:rFonts w:ascii="Arial" w:hAnsi="Arial" w:cs="Arial"/>
        </w:rPr>
      </w:pPr>
      <w:r w:rsidRPr="00D5051D">
        <w:rPr>
          <w:rFonts w:ascii="Arial" w:hAnsi="Arial" w:cs="Arial"/>
        </w:rPr>
        <w:t>N/A</w:t>
      </w:r>
    </w:p>
    <w:p w:rsidR="0072501F" w:rsidRPr="00D5051D" w:rsidRDefault="0072501F" w:rsidP="00D5051D">
      <w:pPr>
        <w:pStyle w:val="ListParagraph"/>
        <w:rPr>
          <w:rFonts w:ascii="Arial" w:hAnsi="Arial" w:cs="Arial"/>
        </w:rPr>
      </w:pPr>
    </w:p>
    <w:p w:rsidR="0072501F" w:rsidRPr="00D5051D" w:rsidRDefault="0072501F" w:rsidP="00D5051D">
      <w:pPr>
        <w:pStyle w:val="ListParagraph"/>
        <w:numPr>
          <w:ilvl w:val="0"/>
          <w:numId w:val="24"/>
        </w:numPr>
        <w:rPr>
          <w:rFonts w:ascii="Arial" w:hAnsi="Arial" w:cs="Arial"/>
        </w:rPr>
      </w:pPr>
      <w:r w:rsidRPr="0072501F">
        <w:rPr>
          <w:rFonts w:ascii="Arial" w:hAnsi="Arial" w:cs="Arial"/>
        </w:rPr>
        <w:t>N/A</w:t>
      </w:r>
    </w:p>
    <w:p w:rsidR="0072501F" w:rsidRDefault="0072501F" w:rsidP="00D5051D">
      <w:pPr>
        <w:ind w:left="360"/>
        <w:rPr>
          <w:rFonts w:ascii="Arial" w:hAnsi="Arial" w:cs="Arial"/>
        </w:rPr>
      </w:pPr>
    </w:p>
    <w:p w:rsidR="00663B29" w:rsidRPr="004961DE" w:rsidRDefault="00F67377" w:rsidP="00D5051D">
      <w:pPr>
        <w:ind w:left="360"/>
        <w:rPr>
          <w:rFonts w:ascii="Arial" w:hAnsi="Arial" w:cs="Arial"/>
          <w:b/>
          <w:u w:val="single"/>
        </w:rPr>
      </w:pPr>
      <w:r w:rsidRPr="004961DE">
        <w:rPr>
          <w:rFonts w:ascii="Arial" w:hAnsi="Arial" w:cs="Arial"/>
          <w:b/>
          <w:u w:val="single"/>
        </w:rPr>
        <w:br w:type="page"/>
      </w:r>
    </w:p>
    <w:p w:rsidR="00F67377" w:rsidRPr="0031141C" w:rsidRDefault="00F67377" w:rsidP="00F67377">
      <w:pPr>
        <w:rPr>
          <w:rFonts w:ascii="Arial" w:hAnsi="Arial" w:cs="Arial"/>
        </w:rPr>
      </w:pPr>
      <w:r w:rsidRPr="00F759E8">
        <w:rPr>
          <w:rFonts w:ascii="Arial" w:hAnsi="Arial" w:cs="Arial"/>
          <w:b/>
          <w:u w:val="single"/>
        </w:rPr>
        <w:lastRenderedPageBreak/>
        <w:t xml:space="preserve">QUESTION </w:t>
      </w:r>
      <w:r>
        <w:rPr>
          <w:rFonts w:ascii="Arial" w:hAnsi="Arial" w:cs="Arial"/>
          <w:b/>
          <w:u w:val="single"/>
        </w:rPr>
        <w:t>6</w:t>
      </w:r>
      <w:r w:rsidRPr="00F759E8">
        <w:rPr>
          <w:rFonts w:ascii="Arial" w:hAnsi="Arial" w:cs="Arial"/>
          <w:b/>
          <w:u w:val="single"/>
        </w:rPr>
        <w:t>:</w:t>
      </w:r>
    </w:p>
    <w:p w:rsidR="00F67377" w:rsidRPr="0031141C" w:rsidRDefault="00F67377" w:rsidP="00F67377">
      <w:pPr>
        <w:rPr>
          <w:rFonts w:ascii="Arial" w:hAnsi="Arial" w:cs="Arial"/>
        </w:rPr>
      </w:pPr>
    </w:p>
    <w:p w:rsidR="00380D6F" w:rsidRDefault="00380D6F" w:rsidP="00380D6F">
      <w:pPr>
        <w:autoSpaceDE w:val="0"/>
        <w:autoSpaceDN w:val="0"/>
        <w:adjustRightInd w:val="0"/>
        <w:rPr>
          <w:rFonts w:ascii="Arial" w:hAnsi="Arial" w:cs="Arial"/>
        </w:rPr>
      </w:pPr>
      <w:r w:rsidRPr="00380D6F">
        <w:rPr>
          <w:rFonts w:ascii="Arial" w:hAnsi="Arial" w:cs="Arial"/>
        </w:rPr>
        <w:t>SCG and SDG&amp;E’s testimony (Marelli testimony, page 2, lines 19-21) states “As Mr. Watson</w:t>
      </w:r>
      <w:r>
        <w:rPr>
          <w:rFonts w:ascii="Arial" w:hAnsi="Arial" w:cs="Arial"/>
        </w:rPr>
        <w:t xml:space="preserve"> </w:t>
      </w:r>
      <w:r w:rsidRPr="00380D6F">
        <w:rPr>
          <w:rFonts w:ascii="Arial" w:hAnsi="Arial" w:cs="Arial"/>
        </w:rPr>
        <w:t>explains, due to revolutions in gas production technologies, natural gas price volatility is much</w:t>
      </w:r>
      <w:r>
        <w:rPr>
          <w:rFonts w:ascii="Arial" w:hAnsi="Arial" w:cs="Arial"/>
        </w:rPr>
        <w:t xml:space="preserve"> </w:t>
      </w:r>
      <w:r w:rsidRPr="00380D6F">
        <w:rPr>
          <w:rFonts w:ascii="Arial" w:hAnsi="Arial" w:cs="Arial"/>
        </w:rPr>
        <w:t>lower today than it has been in the past. As a result, shareholder earnings have reduced to just two</w:t>
      </w:r>
      <w:r>
        <w:rPr>
          <w:rFonts w:ascii="Arial" w:hAnsi="Arial" w:cs="Arial"/>
        </w:rPr>
        <w:t xml:space="preserve"> </w:t>
      </w:r>
      <w:r w:rsidRPr="00380D6F">
        <w:rPr>
          <w:rFonts w:ascii="Arial" w:hAnsi="Arial" w:cs="Arial"/>
        </w:rPr>
        <w:t>hundred thousand dollars for the last two years”.</w:t>
      </w:r>
    </w:p>
    <w:p w:rsidR="00380D6F" w:rsidRPr="00380D6F" w:rsidRDefault="00380D6F" w:rsidP="00380D6F">
      <w:pPr>
        <w:autoSpaceDE w:val="0"/>
        <w:autoSpaceDN w:val="0"/>
        <w:adjustRightInd w:val="0"/>
        <w:rPr>
          <w:rFonts w:ascii="Arial" w:hAnsi="Arial" w:cs="Arial"/>
        </w:rPr>
      </w:pPr>
    </w:p>
    <w:p w:rsidR="00380D6F" w:rsidRPr="00380D6F" w:rsidRDefault="00380D6F" w:rsidP="00380D6F">
      <w:pPr>
        <w:autoSpaceDE w:val="0"/>
        <w:autoSpaceDN w:val="0"/>
        <w:adjustRightInd w:val="0"/>
        <w:rPr>
          <w:rFonts w:ascii="Arial" w:hAnsi="Arial" w:cs="Arial"/>
        </w:rPr>
      </w:pPr>
      <w:r w:rsidRPr="00380D6F">
        <w:rPr>
          <w:rFonts w:ascii="Arial" w:hAnsi="Arial" w:cs="Arial"/>
        </w:rPr>
        <w:t>a. The above statements imply that low volatility in natural gas prices, resulting from</w:t>
      </w:r>
    </w:p>
    <w:p w:rsidR="00380D6F" w:rsidRDefault="00380D6F" w:rsidP="00380D6F">
      <w:pPr>
        <w:autoSpaceDE w:val="0"/>
        <w:autoSpaceDN w:val="0"/>
        <w:adjustRightInd w:val="0"/>
        <w:rPr>
          <w:rFonts w:ascii="Arial" w:hAnsi="Arial" w:cs="Arial"/>
        </w:rPr>
      </w:pPr>
      <w:proofErr w:type="gramStart"/>
      <w:r w:rsidRPr="00380D6F">
        <w:rPr>
          <w:rFonts w:ascii="Arial" w:hAnsi="Arial" w:cs="Arial"/>
        </w:rPr>
        <w:t>revolutions</w:t>
      </w:r>
      <w:proofErr w:type="gramEnd"/>
      <w:r w:rsidRPr="00380D6F">
        <w:rPr>
          <w:rFonts w:ascii="Arial" w:hAnsi="Arial" w:cs="Arial"/>
        </w:rPr>
        <w:t xml:space="preserve"> in gas production technologies, are the sole or dominant cause of a reduction</w:t>
      </w:r>
      <w:r>
        <w:rPr>
          <w:rFonts w:ascii="Arial" w:hAnsi="Arial" w:cs="Arial"/>
        </w:rPr>
        <w:t xml:space="preserve"> </w:t>
      </w:r>
      <w:r w:rsidRPr="00380D6F">
        <w:rPr>
          <w:rFonts w:ascii="Arial" w:hAnsi="Arial" w:cs="Arial"/>
        </w:rPr>
        <w:t>in shareholder earnings from the unbundled storage program. Is this implication accurate?</w:t>
      </w:r>
      <w:r>
        <w:rPr>
          <w:rFonts w:ascii="Arial" w:hAnsi="Arial" w:cs="Arial"/>
        </w:rPr>
        <w:t xml:space="preserve"> </w:t>
      </w:r>
      <w:r w:rsidRPr="00380D6F">
        <w:rPr>
          <w:rFonts w:ascii="Arial" w:hAnsi="Arial" w:cs="Arial"/>
        </w:rPr>
        <w:t>Please explain.</w:t>
      </w:r>
    </w:p>
    <w:p w:rsidR="00380D6F" w:rsidRPr="00380D6F" w:rsidRDefault="00380D6F" w:rsidP="00380D6F">
      <w:pPr>
        <w:autoSpaceDE w:val="0"/>
        <w:autoSpaceDN w:val="0"/>
        <w:adjustRightInd w:val="0"/>
        <w:rPr>
          <w:rFonts w:ascii="Arial" w:hAnsi="Arial" w:cs="Arial"/>
        </w:rPr>
      </w:pPr>
    </w:p>
    <w:p w:rsidR="00380D6F" w:rsidRPr="00380D6F" w:rsidRDefault="00380D6F" w:rsidP="00380D6F">
      <w:pPr>
        <w:autoSpaceDE w:val="0"/>
        <w:autoSpaceDN w:val="0"/>
        <w:adjustRightInd w:val="0"/>
        <w:rPr>
          <w:rFonts w:ascii="Arial" w:hAnsi="Arial" w:cs="Arial"/>
        </w:rPr>
      </w:pPr>
      <w:r w:rsidRPr="00380D6F">
        <w:rPr>
          <w:rFonts w:ascii="Arial" w:hAnsi="Arial" w:cs="Arial"/>
        </w:rPr>
        <w:t xml:space="preserve">b. To what extent do factors other than revolutions in gas production technologies </w:t>
      </w:r>
      <w:proofErr w:type="gramStart"/>
      <w:r w:rsidRPr="00380D6F">
        <w:rPr>
          <w:rFonts w:ascii="Arial" w:hAnsi="Arial" w:cs="Arial"/>
        </w:rPr>
        <w:t>affect</w:t>
      </w:r>
      <w:proofErr w:type="gramEnd"/>
    </w:p>
    <w:p w:rsidR="00380D6F" w:rsidRDefault="00380D6F" w:rsidP="00380D6F">
      <w:pPr>
        <w:autoSpaceDE w:val="0"/>
        <w:autoSpaceDN w:val="0"/>
        <w:adjustRightInd w:val="0"/>
        <w:rPr>
          <w:rFonts w:ascii="Arial" w:hAnsi="Arial" w:cs="Arial"/>
        </w:rPr>
      </w:pPr>
      <w:proofErr w:type="gramStart"/>
      <w:r w:rsidRPr="00380D6F">
        <w:rPr>
          <w:rFonts w:ascii="Arial" w:hAnsi="Arial" w:cs="Arial"/>
        </w:rPr>
        <w:t>natural</w:t>
      </w:r>
      <w:proofErr w:type="gramEnd"/>
      <w:r w:rsidRPr="00380D6F">
        <w:rPr>
          <w:rFonts w:ascii="Arial" w:hAnsi="Arial" w:cs="Arial"/>
        </w:rPr>
        <w:t xml:space="preserve"> gas price volatility remaining low? Please explain.</w:t>
      </w:r>
    </w:p>
    <w:p w:rsidR="008B04D1" w:rsidRPr="00380D6F" w:rsidRDefault="008B04D1" w:rsidP="00380D6F">
      <w:pPr>
        <w:autoSpaceDE w:val="0"/>
        <w:autoSpaceDN w:val="0"/>
        <w:adjustRightInd w:val="0"/>
        <w:rPr>
          <w:rFonts w:ascii="Arial" w:hAnsi="Arial" w:cs="Arial"/>
        </w:rPr>
      </w:pPr>
    </w:p>
    <w:p w:rsidR="00380D6F" w:rsidRPr="00380D6F" w:rsidRDefault="00380D6F" w:rsidP="00380D6F">
      <w:pPr>
        <w:autoSpaceDE w:val="0"/>
        <w:autoSpaceDN w:val="0"/>
        <w:adjustRightInd w:val="0"/>
        <w:rPr>
          <w:rFonts w:ascii="Arial" w:hAnsi="Arial" w:cs="Arial"/>
        </w:rPr>
      </w:pPr>
      <w:r w:rsidRPr="00380D6F">
        <w:rPr>
          <w:rFonts w:ascii="Arial" w:hAnsi="Arial" w:cs="Arial"/>
        </w:rPr>
        <w:t>c. To what extent do factors other than natural gas price volatility affect net unbundled</w:t>
      </w:r>
    </w:p>
    <w:p w:rsidR="008B04D1" w:rsidRDefault="00380D6F" w:rsidP="00380D6F">
      <w:pPr>
        <w:autoSpaceDE w:val="0"/>
        <w:autoSpaceDN w:val="0"/>
        <w:adjustRightInd w:val="0"/>
        <w:rPr>
          <w:rFonts w:ascii="Arial" w:hAnsi="Arial" w:cs="Arial"/>
        </w:rPr>
      </w:pPr>
      <w:proofErr w:type="gramStart"/>
      <w:r w:rsidRPr="00380D6F">
        <w:rPr>
          <w:rFonts w:ascii="Arial" w:hAnsi="Arial" w:cs="Arial"/>
        </w:rPr>
        <w:t>storage</w:t>
      </w:r>
      <w:proofErr w:type="gramEnd"/>
      <w:r w:rsidRPr="00380D6F">
        <w:rPr>
          <w:rFonts w:ascii="Arial" w:hAnsi="Arial" w:cs="Arial"/>
        </w:rPr>
        <w:t xml:space="preserve"> revenues? Please explain.</w:t>
      </w:r>
      <w:r w:rsidR="008B04D1">
        <w:rPr>
          <w:rFonts w:ascii="Arial" w:hAnsi="Arial" w:cs="Arial"/>
        </w:rPr>
        <w:t xml:space="preserve"> </w:t>
      </w:r>
    </w:p>
    <w:p w:rsidR="008B04D1" w:rsidRDefault="008B04D1" w:rsidP="00380D6F">
      <w:pPr>
        <w:autoSpaceDE w:val="0"/>
        <w:autoSpaceDN w:val="0"/>
        <w:adjustRightInd w:val="0"/>
        <w:rPr>
          <w:rFonts w:ascii="Arial" w:hAnsi="Arial" w:cs="Arial"/>
        </w:rPr>
      </w:pPr>
    </w:p>
    <w:p w:rsidR="00380D6F" w:rsidRPr="00380D6F" w:rsidRDefault="00380D6F" w:rsidP="00380D6F">
      <w:pPr>
        <w:autoSpaceDE w:val="0"/>
        <w:autoSpaceDN w:val="0"/>
        <w:adjustRightInd w:val="0"/>
        <w:rPr>
          <w:rFonts w:ascii="Arial" w:hAnsi="Arial" w:cs="Arial"/>
        </w:rPr>
      </w:pPr>
      <w:r w:rsidRPr="00380D6F">
        <w:rPr>
          <w:rFonts w:ascii="Arial" w:hAnsi="Arial" w:cs="Arial"/>
        </w:rPr>
        <w:t>d. If natural gas price volatility stays low or decreases further, to what extent do SCG and</w:t>
      </w:r>
      <w:r w:rsidR="008B04D1">
        <w:rPr>
          <w:rFonts w:ascii="Arial" w:hAnsi="Arial" w:cs="Arial"/>
        </w:rPr>
        <w:t xml:space="preserve"> </w:t>
      </w:r>
      <w:r w:rsidRPr="00380D6F">
        <w:rPr>
          <w:rFonts w:ascii="Arial" w:hAnsi="Arial" w:cs="Arial"/>
        </w:rPr>
        <w:t>SDG&amp;E expect to be able to compensate through “aggressive negotiations with</w:t>
      </w:r>
    </w:p>
    <w:p w:rsidR="00380D6F" w:rsidRPr="00380D6F" w:rsidRDefault="00380D6F" w:rsidP="00380D6F">
      <w:pPr>
        <w:autoSpaceDE w:val="0"/>
        <w:autoSpaceDN w:val="0"/>
        <w:adjustRightInd w:val="0"/>
        <w:rPr>
          <w:rFonts w:ascii="Arial" w:hAnsi="Arial" w:cs="Arial"/>
        </w:rPr>
      </w:pPr>
      <w:proofErr w:type="gramStart"/>
      <w:r w:rsidRPr="00380D6F">
        <w:rPr>
          <w:rFonts w:ascii="Arial" w:hAnsi="Arial" w:cs="Arial"/>
        </w:rPr>
        <w:t>counterparties</w:t>
      </w:r>
      <w:proofErr w:type="gramEnd"/>
      <w:r w:rsidRPr="00380D6F">
        <w:rPr>
          <w:rFonts w:ascii="Arial" w:hAnsi="Arial" w:cs="Arial"/>
        </w:rPr>
        <w:t>, creative product marketing, and storage field operations” (Marelli</w:t>
      </w:r>
    </w:p>
    <w:p w:rsidR="00582C14" w:rsidRPr="00380D6F" w:rsidRDefault="00380D6F" w:rsidP="008B04D1">
      <w:pPr>
        <w:autoSpaceDE w:val="0"/>
        <w:autoSpaceDN w:val="0"/>
        <w:adjustRightInd w:val="0"/>
        <w:rPr>
          <w:rFonts w:ascii="Arial" w:hAnsi="Arial" w:cs="Arial"/>
        </w:rPr>
      </w:pPr>
      <w:proofErr w:type="gramStart"/>
      <w:r w:rsidRPr="00380D6F">
        <w:rPr>
          <w:rFonts w:ascii="Arial" w:hAnsi="Arial" w:cs="Arial"/>
        </w:rPr>
        <w:t>testimony</w:t>
      </w:r>
      <w:proofErr w:type="gramEnd"/>
      <w:r w:rsidRPr="00380D6F">
        <w:rPr>
          <w:rFonts w:ascii="Arial" w:hAnsi="Arial" w:cs="Arial"/>
        </w:rPr>
        <w:t xml:space="preserve"> pages 1-2, lines 23 and 1, respectively) in order to increase unbundled storage</w:t>
      </w:r>
      <w:r w:rsidR="008B04D1">
        <w:rPr>
          <w:rFonts w:ascii="Arial" w:hAnsi="Arial" w:cs="Arial"/>
        </w:rPr>
        <w:t xml:space="preserve"> </w:t>
      </w:r>
      <w:r w:rsidRPr="00380D6F">
        <w:rPr>
          <w:rFonts w:ascii="Arial" w:hAnsi="Arial" w:cs="Arial"/>
        </w:rPr>
        <w:t>revenues?</w:t>
      </w:r>
    </w:p>
    <w:p w:rsidR="00F67377" w:rsidRPr="0031141C" w:rsidRDefault="00F67377" w:rsidP="00F67377">
      <w:pPr>
        <w:rPr>
          <w:rFonts w:ascii="Arial" w:hAnsi="Arial" w:cs="Arial"/>
        </w:rPr>
      </w:pPr>
    </w:p>
    <w:p w:rsidR="008B04D1" w:rsidRDefault="008B04D1"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6</w:t>
      </w:r>
      <w:r w:rsidRPr="00F759E8">
        <w:rPr>
          <w:rFonts w:ascii="Arial" w:hAnsi="Arial" w:cs="Arial"/>
          <w:b/>
          <w:u w:val="single"/>
        </w:rPr>
        <w:t>:</w:t>
      </w:r>
    </w:p>
    <w:p w:rsidR="00F67377" w:rsidRDefault="00F67377" w:rsidP="005C6E7A">
      <w:pPr>
        <w:rPr>
          <w:rFonts w:ascii="Arial" w:hAnsi="Arial" w:cs="Arial"/>
          <w:sz w:val="28"/>
          <w:szCs w:val="28"/>
        </w:rPr>
      </w:pPr>
    </w:p>
    <w:p w:rsidR="00F67377" w:rsidRDefault="009A6CE1" w:rsidP="009A6CE1">
      <w:pPr>
        <w:numPr>
          <w:ilvl w:val="0"/>
          <w:numId w:val="25"/>
        </w:numPr>
        <w:rPr>
          <w:rFonts w:ascii="Arial" w:hAnsi="Arial" w:cs="Arial"/>
        </w:rPr>
      </w:pPr>
      <w:r>
        <w:rPr>
          <w:rFonts w:ascii="Arial" w:hAnsi="Arial" w:cs="Arial"/>
          <w:sz w:val="28"/>
          <w:szCs w:val="28"/>
        </w:rPr>
        <w:t xml:space="preserve"> </w:t>
      </w:r>
      <w:r w:rsidRPr="004961DE">
        <w:rPr>
          <w:rFonts w:ascii="Arial" w:hAnsi="Arial" w:cs="Arial"/>
        </w:rPr>
        <w:t>No.  Low price volatility is one factor affecting storage valuations.</w:t>
      </w:r>
    </w:p>
    <w:p w:rsidR="004961DE" w:rsidRPr="004961DE" w:rsidRDefault="004961DE" w:rsidP="004961DE">
      <w:pPr>
        <w:ind w:left="360"/>
        <w:rPr>
          <w:rFonts w:ascii="Arial" w:hAnsi="Arial" w:cs="Arial"/>
        </w:rPr>
      </w:pPr>
    </w:p>
    <w:p w:rsidR="004961DE" w:rsidRDefault="00D5051D" w:rsidP="00D5051D">
      <w:pPr>
        <w:numPr>
          <w:ilvl w:val="0"/>
          <w:numId w:val="25"/>
        </w:numPr>
        <w:rPr>
          <w:rFonts w:ascii="Arial" w:hAnsi="Arial" w:cs="Arial"/>
        </w:rPr>
      </w:pPr>
      <w:r w:rsidRPr="00D5051D">
        <w:rPr>
          <w:rFonts w:ascii="Arial" w:hAnsi="Arial" w:cs="Arial"/>
        </w:rPr>
        <w:t xml:space="preserve">Yes, other factors also affect natural gas volatilities.  </w:t>
      </w:r>
    </w:p>
    <w:p w:rsidR="00D5051D" w:rsidRDefault="00D5051D" w:rsidP="00D5051D">
      <w:pPr>
        <w:pStyle w:val="ListParagraph"/>
        <w:rPr>
          <w:rFonts w:ascii="Arial" w:hAnsi="Arial" w:cs="Arial"/>
        </w:rPr>
      </w:pPr>
    </w:p>
    <w:p w:rsidR="009A6CE1" w:rsidRDefault="009A6CE1" w:rsidP="009A6CE1">
      <w:pPr>
        <w:numPr>
          <w:ilvl w:val="0"/>
          <w:numId w:val="25"/>
        </w:numPr>
        <w:rPr>
          <w:rFonts w:ascii="Arial" w:hAnsi="Arial" w:cs="Arial"/>
        </w:rPr>
      </w:pPr>
      <w:r w:rsidRPr="004961DE">
        <w:rPr>
          <w:rFonts w:ascii="Arial" w:hAnsi="Arial" w:cs="Arial"/>
        </w:rPr>
        <w:t>Natural gas prices are another factor.  Even for a given volatility level, storage values tend to increase with overall natural gas prices.  The price spreads from summer to winter periods are also important.  The perceived likelihood of flowing supply shortages/disruptions is another factor.</w:t>
      </w:r>
    </w:p>
    <w:p w:rsidR="004961DE" w:rsidRPr="004961DE" w:rsidRDefault="004961DE" w:rsidP="004961DE">
      <w:pPr>
        <w:ind w:left="360"/>
        <w:rPr>
          <w:rFonts w:ascii="Arial" w:hAnsi="Arial" w:cs="Arial"/>
        </w:rPr>
      </w:pPr>
    </w:p>
    <w:p w:rsidR="009A6CE1" w:rsidRDefault="009A6CE1" w:rsidP="009A6CE1">
      <w:pPr>
        <w:numPr>
          <w:ilvl w:val="0"/>
          <w:numId w:val="25"/>
        </w:numPr>
        <w:rPr>
          <w:rFonts w:ascii="Arial" w:hAnsi="Arial" w:cs="Arial"/>
          <w:sz w:val="28"/>
          <w:szCs w:val="28"/>
        </w:rPr>
      </w:pPr>
      <w:r w:rsidRPr="004961DE">
        <w:rPr>
          <w:rFonts w:ascii="Arial" w:hAnsi="Arial" w:cs="Arial"/>
        </w:rPr>
        <w:t xml:space="preserve">Volatility affects the overall value of storage.  Aggressive negotiations help determine what percentage of that overall value is retained by SoCalGas </w:t>
      </w:r>
      <w:r w:rsidR="009C4BA8">
        <w:rPr>
          <w:rFonts w:ascii="Arial" w:hAnsi="Arial" w:cs="Arial"/>
        </w:rPr>
        <w:t>and its ratepayers</w:t>
      </w:r>
      <w:r w:rsidR="00D5051D">
        <w:rPr>
          <w:rFonts w:ascii="Arial" w:hAnsi="Arial" w:cs="Arial"/>
        </w:rPr>
        <w:t xml:space="preserve"> </w:t>
      </w:r>
      <w:r w:rsidRPr="004961DE">
        <w:rPr>
          <w:rFonts w:ascii="Arial" w:hAnsi="Arial" w:cs="Arial"/>
        </w:rPr>
        <w:t>versus the purchaser</w:t>
      </w:r>
      <w:r>
        <w:rPr>
          <w:rFonts w:ascii="Arial" w:hAnsi="Arial" w:cs="Arial"/>
          <w:sz w:val="28"/>
          <w:szCs w:val="28"/>
        </w:rPr>
        <w:t>.</w:t>
      </w:r>
    </w:p>
    <w:p w:rsidR="00A85689" w:rsidRDefault="00F67377" w:rsidP="00F67377">
      <w:pPr>
        <w:rPr>
          <w:rFonts w:ascii="Arial" w:hAnsi="Arial" w:cs="Arial"/>
          <w:b/>
          <w:u w:val="single"/>
        </w:rPr>
      </w:pPr>
      <w:r>
        <w:rPr>
          <w:rFonts w:ascii="Arial" w:hAnsi="Arial" w:cs="Arial"/>
          <w:b/>
          <w:u w:val="single"/>
        </w:rPr>
        <w:br w:type="page"/>
      </w:r>
    </w:p>
    <w:p w:rsidR="00C62CAA" w:rsidRDefault="00C62CAA"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 xml:space="preserve">QUESTION </w:t>
      </w:r>
      <w:r>
        <w:rPr>
          <w:rFonts w:ascii="Arial" w:hAnsi="Arial" w:cs="Arial"/>
          <w:b/>
          <w:u w:val="single"/>
        </w:rPr>
        <w:t>7</w:t>
      </w:r>
      <w:r w:rsidRPr="00F759E8">
        <w:rPr>
          <w:rFonts w:ascii="Arial" w:hAnsi="Arial" w:cs="Arial"/>
          <w:b/>
          <w:u w:val="single"/>
        </w:rPr>
        <w:t>:</w:t>
      </w:r>
    </w:p>
    <w:p w:rsidR="00F67377" w:rsidRPr="0031141C" w:rsidRDefault="00F67377" w:rsidP="00F67377">
      <w:pPr>
        <w:rPr>
          <w:rFonts w:ascii="Arial" w:hAnsi="Arial" w:cs="Arial"/>
        </w:rPr>
      </w:pPr>
    </w:p>
    <w:p w:rsidR="008B04D1" w:rsidRPr="008B04D1" w:rsidRDefault="008B04D1" w:rsidP="008B04D1">
      <w:pPr>
        <w:autoSpaceDE w:val="0"/>
        <w:autoSpaceDN w:val="0"/>
        <w:adjustRightInd w:val="0"/>
        <w:rPr>
          <w:rFonts w:ascii="Arial" w:hAnsi="Arial" w:cs="Arial"/>
        </w:rPr>
      </w:pPr>
      <w:r w:rsidRPr="008B04D1">
        <w:rPr>
          <w:rFonts w:ascii="Arial" w:hAnsi="Arial" w:cs="Arial"/>
        </w:rPr>
        <w:t>In Response 12 of ORA data request ORA-DR-02, Sempra stated “SoCalGas has no forecasts of</w:t>
      </w:r>
      <w:r>
        <w:rPr>
          <w:rFonts w:ascii="Arial" w:hAnsi="Arial" w:cs="Arial"/>
        </w:rPr>
        <w:t xml:space="preserve"> </w:t>
      </w:r>
      <w:r w:rsidRPr="008B04D1">
        <w:rPr>
          <w:rFonts w:ascii="Arial" w:hAnsi="Arial" w:cs="Arial"/>
        </w:rPr>
        <w:t>unbundled storage revenues for 2016-2021 under any sharing mechanism, nor is it capable of</w:t>
      </w:r>
      <w:r>
        <w:rPr>
          <w:rFonts w:ascii="Arial" w:hAnsi="Arial" w:cs="Arial"/>
        </w:rPr>
        <w:t xml:space="preserve"> </w:t>
      </w:r>
      <w:r w:rsidRPr="008B04D1">
        <w:rPr>
          <w:rFonts w:ascii="Arial" w:hAnsi="Arial" w:cs="Arial"/>
        </w:rPr>
        <w:t>generating such a forecast using its current tools”.</w:t>
      </w:r>
    </w:p>
    <w:p w:rsidR="008B04D1" w:rsidRPr="008B04D1" w:rsidRDefault="008B04D1" w:rsidP="008B04D1">
      <w:pPr>
        <w:autoSpaceDE w:val="0"/>
        <w:autoSpaceDN w:val="0"/>
        <w:adjustRightInd w:val="0"/>
        <w:rPr>
          <w:rFonts w:ascii="Arial" w:hAnsi="Arial" w:cs="Arial"/>
        </w:rPr>
      </w:pPr>
    </w:p>
    <w:p w:rsidR="008B04D1" w:rsidRDefault="008B04D1" w:rsidP="008B04D1">
      <w:pPr>
        <w:numPr>
          <w:ilvl w:val="0"/>
          <w:numId w:val="22"/>
        </w:numPr>
        <w:autoSpaceDE w:val="0"/>
        <w:autoSpaceDN w:val="0"/>
        <w:adjustRightInd w:val="0"/>
        <w:ind w:left="540" w:hanging="540"/>
        <w:rPr>
          <w:rFonts w:ascii="Arial" w:hAnsi="Arial" w:cs="Arial"/>
        </w:rPr>
      </w:pPr>
      <w:r w:rsidRPr="008B04D1">
        <w:rPr>
          <w:rFonts w:ascii="Arial" w:hAnsi="Arial" w:cs="Arial"/>
        </w:rPr>
        <w:t>Do SCG and/or SDG&amp;E have any forecasts of unbundled storage revenues for any future</w:t>
      </w:r>
      <w:r>
        <w:rPr>
          <w:rFonts w:ascii="Arial" w:hAnsi="Arial" w:cs="Arial"/>
        </w:rPr>
        <w:t xml:space="preserve"> </w:t>
      </w:r>
      <w:r w:rsidRPr="008B04D1">
        <w:rPr>
          <w:rFonts w:ascii="Arial" w:hAnsi="Arial" w:cs="Arial"/>
        </w:rPr>
        <w:t>years?</w:t>
      </w:r>
    </w:p>
    <w:p w:rsidR="008B04D1" w:rsidRDefault="008B04D1" w:rsidP="008B04D1">
      <w:pPr>
        <w:numPr>
          <w:ilvl w:val="0"/>
          <w:numId w:val="22"/>
        </w:numPr>
        <w:autoSpaceDE w:val="0"/>
        <w:autoSpaceDN w:val="0"/>
        <w:adjustRightInd w:val="0"/>
        <w:ind w:left="540" w:hanging="540"/>
        <w:rPr>
          <w:rFonts w:ascii="Arial" w:hAnsi="Arial" w:cs="Arial"/>
        </w:rPr>
      </w:pPr>
      <w:r w:rsidRPr="008B04D1">
        <w:rPr>
          <w:rFonts w:ascii="Arial" w:hAnsi="Arial" w:cs="Arial"/>
        </w:rPr>
        <w:t>Is it capable of generating any forecasts of unbundled storage revenues for any future</w:t>
      </w:r>
      <w:r>
        <w:rPr>
          <w:rFonts w:ascii="Arial" w:hAnsi="Arial" w:cs="Arial"/>
        </w:rPr>
        <w:t xml:space="preserve"> </w:t>
      </w:r>
      <w:r w:rsidRPr="008B04D1">
        <w:rPr>
          <w:rFonts w:ascii="Arial" w:hAnsi="Arial" w:cs="Arial"/>
        </w:rPr>
        <w:t>years using any tools at its disposal? If so, please explain.</w:t>
      </w:r>
    </w:p>
    <w:p w:rsidR="008B04D1" w:rsidRDefault="008B04D1" w:rsidP="008B04D1">
      <w:pPr>
        <w:autoSpaceDE w:val="0"/>
        <w:autoSpaceDN w:val="0"/>
        <w:adjustRightInd w:val="0"/>
        <w:ind w:left="720"/>
        <w:rPr>
          <w:rFonts w:ascii="Arial" w:hAnsi="Arial" w:cs="Arial"/>
        </w:rPr>
      </w:pPr>
    </w:p>
    <w:p w:rsidR="00582C14" w:rsidRPr="008B04D1" w:rsidRDefault="008B04D1" w:rsidP="008B04D1">
      <w:pPr>
        <w:autoSpaceDE w:val="0"/>
        <w:autoSpaceDN w:val="0"/>
        <w:adjustRightInd w:val="0"/>
        <w:ind w:left="540" w:hanging="540"/>
        <w:rPr>
          <w:rFonts w:ascii="Arial" w:hAnsi="Arial" w:cs="Arial"/>
        </w:rPr>
      </w:pPr>
      <w:r w:rsidRPr="008B04D1">
        <w:rPr>
          <w:rFonts w:ascii="Arial" w:hAnsi="Arial" w:cs="Arial"/>
        </w:rPr>
        <w:t xml:space="preserve">c. </w:t>
      </w:r>
      <w:r>
        <w:rPr>
          <w:rFonts w:ascii="Arial" w:hAnsi="Arial" w:cs="Arial"/>
        </w:rPr>
        <w:t xml:space="preserve">    </w:t>
      </w:r>
      <w:r w:rsidRPr="008B04D1">
        <w:rPr>
          <w:rFonts w:ascii="Arial" w:hAnsi="Arial" w:cs="Arial"/>
        </w:rPr>
        <w:t xml:space="preserve">If SCG and/or SDG&amp;E cannot generate unbundled storage revenue forecasts, </w:t>
      </w:r>
      <w:r>
        <w:rPr>
          <w:rFonts w:ascii="Arial" w:hAnsi="Arial" w:cs="Arial"/>
        </w:rPr>
        <w:t xml:space="preserve">   </w:t>
      </w:r>
      <w:r w:rsidRPr="008B04D1">
        <w:rPr>
          <w:rFonts w:ascii="Arial" w:hAnsi="Arial" w:cs="Arial"/>
        </w:rPr>
        <w:t>what is</w:t>
      </w:r>
      <w:r>
        <w:rPr>
          <w:rFonts w:ascii="Arial" w:hAnsi="Arial" w:cs="Arial"/>
        </w:rPr>
        <w:t xml:space="preserve"> </w:t>
      </w:r>
      <w:r w:rsidRPr="008B04D1">
        <w:rPr>
          <w:rFonts w:ascii="Arial" w:hAnsi="Arial" w:cs="Arial"/>
        </w:rPr>
        <w:t>SCG/SDG&amp;E’s basis for determining the likelihood of any unbundled storage revenue</w:t>
      </w:r>
      <w:r>
        <w:rPr>
          <w:rFonts w:ascii="Arial" w:hAnsi="Arial" w:cs="Arial"/>
        </w:rPr>
        <w:t xml:space="preserve"> </w:t>
      </w:r>
      <w:r w:rsidRPr="008B04D1">
        <w:rPr>
          <w:rFonts w:ascii="Arial" w:hAnsi="Arial" w:cs="Arial"/>
        </w:rPr>
        <w:t>increase or decrease?</w:t>
      </w:r>
    </w:p>
    <w:p w:rsidR="00F67377" w:rsidRPr="0031141C" w:rsidRDefault="00F67377" w:rsidP="00F67377">
      <w:pPr>
        <w:rPr>
          <w:rFonts w:ascii="Arial" w:hAnsi="Arial" w:cs="Arial"/>
        </w:rPr>
      </w:pPr>
    </w:p>
    <w:p w:rsidR="008B04D1" w:rsidRDefault="008B04D1"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7</w:t>
      </w:r>
      <w:r w:rsidRPr="00F759E8">
        <w:rPr>
          <w:rFonts w:ascii="Arial" w:hAnsi="Arial" w:cs="Arial"/>
          <w:b/>
          <w:u w:val="single"/>
        </w:rPr>
        <w:t>:</w:t>
      </w:r>
    </w:p>
    <w:p w:rsidR="00F67377" w:rsidRDefault="00F67377" w:rsidP="005C6E7A">
      <w:pPr>
        <w:rPr>
          <w:rFonts w:ascii="Arial" w:hAnsi="Arial" w:cs="Arial"/>
          <w:sz w:val="28"/>
          <w:szCs w:val="28"/>
        </w:rPr>
      </w:pPr>
    </w:p>
    <w:p w:rsidR="00F67377" w:rsidRDefault="004961DE" w:rsidP="004961DE">
      <w:pPr>
        <w:numPr>
          <w:ilvl w:val="0"/>
          <w:numId w:val="27"/>
        </w:numPr>
        <w:rPr>
          <w:rFonts w:ascii="Arial" w:hAnsi="Arial" w:cs="Arial"/>
        </w:rPr>
      </w:pPr>
      <w:r w:rsidRPr="00880454">
        <w:rPr>
          <w:rFonts w:ascii="Arial" w:hAnsi="Arial" w:cs="Arial"/>
        </w:rPr>
        <w:t>We are forecasting 2015 revenues similar to 2014:  $26.5 million gr</w:t>
      </w:r>
      <w:r w:rsidR="009D52D8">
        <w:rPr>
          <w:rFonts w:ascii="Arial" w:hAnsi="Arial" w:cs="Arial"/>
        </w:rPr>
        <w:t>oss, including FF&amp;U.</w:t>
      </w:r>
      <w:r w:rsidRPr="00880454">
        <w:rPr>
          <w:rFonts w:ascii="Arial" w:hAnsi="Arial" w:cs="Arial"/>
        </w:rPr>
        <w:t xml:space="preserve">  We have no forecasts beyond 2015.</w:t>
      </w:r>
    </w:p>
    <w:p w:rsidR="00460B56" w:rsidRPr="00D5051D" w:rsidRDefault="00460B56" w:rsidP="00460B56">
      <w:pPr>
        <w:rPr>
          <w:rFonts w:ascii="Arial" w:hAnsi="Arial" w:cs="Arial"/>
        </w:rPr>
      </w:pPr>
    </w:p>
    <w:p w:rsidR="00460B56" w:rsidRPr="00D5051D" w:rsidRDefault="00880454" w:rsidP="00460B56">
      <w:pPr>
        <w:numPr>
          <w:ilvl w:val="0"/>
          <w:numId w:val="27"/>
        </w:numPr>
        <w:rPr>
          <w:rFonts w:ascii="Arial" w:hAnsi="Arial" w:cs="Arial"/>
        </w:rPr>
      </w:pPr>
      <w:r w:rsidRPr="00D5051D">
        <w:rPr>
          <w:rFonts w:ascii="Arial" w:hAnsi="Arial" w:cs="Arial"/>
        </w:rPr>
        <w:t xml:space="preserve">No.  </w:t>
      </w:r>
      <w:r w:rsidR="00460B56" w:rsidRPr="00D5051D">
        <w:rPr>
          <w:rFonts w:ascii="Arial" w:hAnsi="Arial" w:cs="Arial"/>
        </w:rPr>
        <w:t xml:space="preserve">Here are three points why we don’t estimate the value of our </w:t>
      </w:r>
      <w:r w:rsidR="009D52D8" w:rsidRPr="00D5051D">
        <w:rPr>
          <w:rFonts w:ascii="Arial" w:hAnsi="Arial" w:cs="Arial"/>
        </w:rPr>
        <w:t xml:space="preserve">storage assets for periods significantly </w:t>
      </w:r>
      <w:r w:rsidR="00460B56" w:rsidRPr="00D5051D">
        <w:rPr>
          <w:rFonts w:ascii="Arial" w:hAnsi="Arial" w:cs="Arial"/>
        </w:rPr>
        <w:t>longer than a year:</w:t>
      </w:r>
    </w:p>
    <w:p w:rsidR="00460B56" w:rsidRPr="00D5051D" w:rsidRDefault="00460B56" w:rsidP="00460B56">
      <w:pPr>
        <w:ind w:left="720" w:hanging="360"/>
        <w:rPr>
          <w:rFonts w:ascii="Arial" w:hAnsi="Arial" w:cs="Arial"/>
        </w:rPr>
      </w:pPr>
      <w:r w:rsidRPr="00D5051D">
        <w:rPr>
          <w:rFonts w:ascii="Arial" w:hAnsi="Arial" w:cs="Arial"/>
          <w:b/>
          <w:bCs/>
        </w:rPr>
        <w:t xml:space="preserve">Price Discovery: </w:t>
      </w:r>
      <w:r w:rsidRPr="00D5051D">
        <w:rPr>
          <w:rFonts w:ascii="Arial" w:hAnsi="Arial" w:cs="Arial"/>
        </w:rPr>
        <w:t>As you move towards the back of the forward curve traded volumes tend to decline.  There is little trading in ICE for individual SoCal Basis monthly contracts with an expiration greater than one year.   Determining the correct bid and offer of forward prices in the absence of trading activity is difficult.</w:t>
      </w:r>
    </w:p>
    <w:p w:rsidR="00460B56" w:rsidRPr="00D5051D" w:rsidRDefault="00460B56" w:rsidP="00460B56">
      <w:pPr>
        <w:ind w:left="720" w:hanging="360"/>
        <w:rPr>
          <w:rFonts w:ascii="Arial" w:hAnsi="Arial" w:cs="Arial"/>
        </w:rPr>
      </w:pPr>
      <w:r w:rsidRPr="00D5051D">
        <w:rPr>
          <w:rFonts w:ascii="Arial" w:hAnsi="Arial" w:cs="Arial"/>
          <w:b/>
          <w:bCs/>
        </w:rPr>
        <w:t>Uncertainty of Unobserved Inputs:</w:t>
      </w:r>
      <w:r w:rsidRPr="00D5051D">
        <w:rPr>
          <w:rFonts w:ascii="Arial" w:hAnsi="Arial" w:cs="Arial"/>
        </w:rPr>
        <w:t xml:space="preserve"> Storage values depend on the expected correlation between different contracts in the forward curve.  Because there is no forward markets for correlation in the natural gas market, correlations coefficients have to be estimated using historical data.  This assumes that historical data is representative of the future.  However the constantly changing nature of the market ensures that the validity of this assumption weakens the further out we go into the future.</w:t>
      </w:r>
    </w:p>
    <w:p w:rsidR="00460B56" w:rsidRPr="00D5051D" w:rsidRDefault="00460B56" w:rsidP="00460B56">
      <w:pPr>
        <w:ind w:left="720" w:hanging="360"/>
        <w:rPr>
          <w:rFonts w:ascii="Arial" w:hAnsi="Arial" w:cs="Arial"/>
        </w:rPr>
      </w:pPr>
      <w:r w:rsidRPr="00D5051D">
        <w:rPr>
          <w:rFonts w:ascii="Arial" w:hAnsi="Arial" w:cs="Arial"/>
          <w:b/>
          <w:bCs/>
        </w:rPr>
        <w:t>Appropriateness of the model:</w:t>
      </w:r>
      <w:r w:rsidRPr="00D5051D">
        <w:rPr>
          <w:rFonts w:ascii="Arial" w:hAnsi="Arial" w:cs="Arial"/>
        </w:rPr>
        <w:t xml:space="preserve"> Commodity market</w:t>
      </w:r>
      <w:r w:rsidR="009C4BA8" w:rsidRPr="00D5051D">
        <w:rPr>
          <w:rFonts w:ascii="Arial" w:hAnsi="Arial" w:cs="Arial"/>
        </w:rPr>
        <w:t>s</w:t>
      </w:r>
      <w:r w:rsidRPr="00D5051D">
        <w:rPr>
          <w:rFonts w:ascii="Arial" w:hAnsi="Arial" w:cs="Arial"/>
        </w:rPr>
        <w:t xml:space="preserve"> often behave differently at different time intervals.  At multi</w:t>
      </w:r>
      <w:r w:rsidR="009C4BA8" w:rsidRPr="00D5051D">
        <w:rPr>
          <w:rFonts w:ascii="Arial" w:hAnsi="Arial" w:cs="Arial"/>
        </w:rPr>
        <w:t>-</w:t>
      </w:r>
      <w:r w:rsidRPr="00D5051D">
        <w:rPr>
          <w:rFonts w:ascii="Arial" w:hAnsi="Arial" w:cs="Arial"/>
        </w:rPr>
        <w:t>year periods, commodities tend to exhibit mean reversion.  If natural gas price</w:t>
      </w:r>
      <w:r w:rsidR="009C4BA8" w:rsidRPr="00D5051D">
        <w:rPr>
          <w:rFonts w:ascii="Arial" w:hAnsi="Arial" w:cs="Arial"/>
        </w:rPr>
        <w:t>s</w:t>
      </w:r>
      <w:r w:rsidRPr="00D5051D">
        <w:rPr>
          <w:rFonts w:ascii="Arial" w:hAnsi="Arial" w:cs="Arial"/>
        </w:rPr>
        <w:t xml:space="preserve"> rise, producers increase their drilling activity, new pipelines are built, etc</w:t>
      </w:r>
      <w:proofErr w:type="gramStart"/>
      <w:r w:rsidRPr="00D5051D">
        <w:rPr>
          <w:rFonts w:ascii="Arial" w:hAnsi="Arial" w:cs="Arial"/>
        </w:rPr>
        <w:t>..</w:t>
      </w:r>
      <w:proofErr w:type="gramEnd"/>
      <w:r w:rsidRPr="00D5051D">
        <w:rPr>
          <w:rFonts w:ascii="Arial" w:hAnsi="Arial" w:cs="Arial"/>
        </w:rPr>
        <w:t xml:space="preserve"> This mean reversion is much less pronounced on shorter time periods.  Thus, models designed to value annual storage contracts </w:t>
      </w:r>
      <w:r w:rsidR="009D52D8" w:rsidRPr="00D5051D">
        <w:rPr>
          <w:rFonts w:ascii="Arial" w:hAnsi="Arial" w:cs="Arial"/>
        </w:rPr>
        <w:t>are</w:t>
      </w:r>
      <w:r w:rsidRPr="00D5051D">
        <w:rPr>
          <w:rFonts w:ascii="Arial" w:hAnsi="Arial" w:cs="Arial"/>
        </w:rPr>
        <w:t xml:space="preserve"> not be suitable for determining the long term market value of storage.  We don’t have a model to estimate the long term value of storage. </w:t>
      </w:r>
    </w:p>
    <w:p w:rsidR="00460B56" w:rsidRPr="00D5051D" w:rsidRDefault="00460B56" w:rsidP="00460B56">
      <w:pPr>
        <w:ind w:left="720" w:hanging="360"/>
        <w:rPr>
          <w:rFonts w:ascii="Arial" w:hAnsi="Arial" w:cs="Arial"/>
        </w:rPr>
      </w:pPr>
    </w:p>
    <w:p w:rsidR="004961DE" w:rsidRPr="00D5051D" w:rsidRDefault="00460B56" w:rsidP="004961DE">
      <w:pPr>
        <w:numPr>
          <w:ilvl w:val="0"/>
          <w:numId w:val="27"/>
        </w:numPr>
        <w:rPr>
          <w:rFonts w:ascii="Arial" w:hAnsi="Arial" w:cs="Arial"/>
        </w:rPr>
      </w:pPr>
      <w:r w:rsidRPr="00D5051D">
        <w:rPr>
          <w:rFonts w:ascii="Arial" w:hAnsi="Arial" w:cs="Arial"/>
        </w:rPr>
        <w:t xml:space="preserve">Few in the industry expect natural gas prices to rise </w:t>
      </w:r>
      <w:r w:rsidR="00D5051D">
        <w:rPr>
          <w:rFonts w:ascii="Arial" w:hAnsi="Arial" w:cs="Arial"/>
        </w:rPr>
        <w:t xml:space="preserve">over the next several years </w:t>
      </w:r>
      <w:r w:rsidRPr="00D5051D">
        <w:rPr>
          <w:rFonts w:ascii="Arial" w:hAnsi="Arial" w:cs="Arial"/>
        </w:rPr>
        <w:t>to the price levels and exhibit the price volatility seen in the 2006-2010 period.</w:t>
      </w:r>
    </w:p>
    <w:p w:rsidR="00F67377" w:rsidRDefault="00F67377" w:rsidP="00F67377">
      <w:pPr>
        <w:rPr>
          <w:rFonts w:ascii="Arial" w:hAnsi="Arial" w:cs="Arial"/>
          <w:b/>
          <w:u w:val="single"/>
        </w:rPr>
      </w:pPr>
      <w:r>
        <w:rPr>
          <w:rFonts w:ascii="Arial" w:hAnsi="Arial" w:cs="Arial"/>
          <w:b/>
          <w:u w:val="single"/>
        </w:rPr>
        <w:br w:type="page"/>
      </w:r>
    </w:p>
    <w:p w:rsidR="00F67377" w:rsidRPr="0031141C" w:rsidRDefault="00F67377" w:rsidP="00F67377">
      <w:pPr>
        <w:rPr>
          <w:rFonts w:ascii="Arial" w:hAnsi="Arial" w:cs="Arial"/>
        </w:rPr>
      </w:pPr>
      <w:r w:rsidRPr="00F759E8">
        <w:rPr>
          <w:rFonts w:ascii="Arial" w:hAnsi="Arial" w:cs="Arial"/>
          <w:b/>
          <w:u w:val="single"/>
        </w:rPr>
        <w:lastRenderedPageBreak/>
        <w:t xml:space="preserve">QUESTION </w:t>
      </w:r>
      <w:r>
        <w:rPr>
          <w:rFonts w:ascii="Arial" w:hAnsi="Arial" w:cs="Arial"/>
          <w:b/>
          <w:u w:val="single"/>
        </w:rPr>
        <w:t>8</w:t>
      </w:r>
      <w:r w:rsidRPr="00F759E8">
        <w:rPr>
          <w:rFonts w:ascii="Arial" w:hAnsi="Arial" w:cs="Arial"/>
          <w:b/>
          <w:u w:val="single"/>
        </w:rPr>
        <w:t>:</w:t>
      </w:r>
    </w:p>
    <w:p w:rsidR="00F67377" w:rsidRPr="0031141C" w:rsidRDefault="00F67377" w:rsidP="00F67377">
      <w:pPr>
        <w:rPr>
          <w:rFonts w:ascii="Arial" w:hAnsi="Arial" w:cs="Arial"/>
        </w:rPr>
      </w:pPr>
    </w:p>
    <w:p w:rsidR="008B04D1" w:rsidRPr="008B04D1" w:rsidRDefault="008B04D1" w:rsidP="008B04D1">
      <w:pPr>
        <w:autoSpaceDE w:val="0"/>
        <w:autoSpaceDN w:val="0"/>
        <w:adjustRightInd w:val="0"/>
        <w:rPr>
          <w:rFonts w:ascii="Arial" w:hAnsi="Arial" w:cs="Arial"/>
        </w:rPr>
      </w:pPr>
      <w:r w:rsidRPr="008B04D1">
        <w:rPr>
          <w:rFonts w:ascii="Arial" w:hAnsi="Arial" w:cs="Arial"/>
        </w:rPr>
        <w:t>SCG and SDG&amp;E’s testimony (Marelli testimony pages 2-3, lines 21-22 and 1-2, respectively)</w:t>
      </w:r>
      <w:r>
        <w:rPr>
          <w:rFonts w:ascii="Arial" w:hAnsi="Arial" w:cs="Arial"/>
        </w:rPr>
        <w:t xml:space="preserve"> </w:t>
      </w:r>
      <w:r w:rsidRPr="008B04D1">
        <w:rPr>
          <w:rFonts w:ascii="Arial" w:hAnsi="Arial" w:cs="Arial"/>
        </w:rPr>
        <w:t>states “Aggressive marketing of our storage assets benefits customers because they are able to</w:t>
      </w:r>
      <w:r>
        <w:rPr>
          <w:rFonts w:ascii="Arial" w:hAnsi="Arial" w:cs="Arial"/>
        </w:rPr>
        <w:t xml:space="preserve"> </w:t>
      </w:r>
      <w:r w:rsidRPr="008B04D1">
        <w:rPr>
          <w:rFonts w:ascii="Arial" w:hAnsi="Arial" w:cs="Arial"/>
        </w:rPr>
        <w:t>share in a larger pot of revenues. The Commission should adopt the Utilities proposed incentive</w:t>
      </w:r>
      <w:r>
        <w:rPr>
          <w:rFonts w:ascii="Arial" w:hAnsi="Arial" w:cs="Arial"/>
        </w:rPr>
        <w:t xml:space="preserve"> </w:t>
      </w:r>
      <w:r w:rsidRPr="008B04D1">
        <w:rPr>
          <w:rFonts w:ascii="Arial" w:hAnsi="Arial" w:cs="Arial"/>
        </w:rPr>
        <w:t>mechanism, which will better align the interests of customers and shareholders, to the ultimate</w:t>
      </w:r>
      <w:r>
        <w:rPr>
          <w:rFonts w:ascii="Arial" w:hAnsi="Arial" w:cs="Arial"/>
        </w:rPr>
        <w:t xml:space="preserve"> </w:t>
      </w:r>
      <w:r w:rsidRPr="008B04D1">
        <w:rPr>
          <w:rFonts w:ascii="Arial" w:hAnsi="Arial" w:cs="Arial"/>
        </w:rPr>
        <w:t>benefit of customers.”</w:t>
      </w:r>
    </w:p>
    <w:p w:rsidR="008B04D1" w:rsidRDefault="008B04D1" w:rsidP="008B04D1">
      <w:pPr>
        <w:autoSpaceDE w:val="0"/>
        <w:autoSpaceDN w:val="0"/>
        <w:adjustRightInd w:val="0"/>
        <w:rPr>
          <w:rFonts w:ascii="Arial" w:hAnsi="Arial" w:cs="Arial"/>
        </w:rPr>
      </w:pPr>
    </w:p>
    <w:p w:rsidR="00582C14" w:rsidRPr="008B04D1" w:rsidRDefault="008B04D1" w:rsidP="008B04D1">
      <w:pPr>
        <w:autoSpaceDE w:val="0"/>
        <w:autoSpaceDN w:val="0"/>
        <w:adjustRightInd w:val="0"/>
        <w:rPr>
          <w:rFonts w:ascii="Arial" w:hAnsi="Arial" w:cs="Arial"/>
        </w:rPr>
      </w:pPr>
      <w:r w:rsidRPr="008B04D1">
        <w:rPr>
          <w:rFonts w:ascii="Arial" w:hAnsi="Arial" w:cs="Arial"/>
        </w:rPr>
        <w:t xml:space="preserve">Does the above passage of Ms. </w:t>
      </w:r>
      <w:proofErr w:type="spellStart"/>
      <w:r w:rsidRPr="008B04D1">
        <w:rPr>
          <w:rFonts w:ascii="Arial" w:hAnsi="Arial" w:cs="Arial"/>
        </w:rPr>
        <w:t>Marelli’s</w:t>
      </w:r>
      <w:proofErr w:type="spellEnd"/>
      <w:r w:rsidRPr="008B04D1">
        <w:rPr>
          <w:rFonts w:ascii="Arial" w:hAnsi="Arial" w:cs="Arial"/>
        </w:rPr>
        <w:t xml:space="preserve"> testimony mean that SCG and SDG&amp;E believe that the</w:t>
      </w:r>
      <w:r>
        <w:rPr>
          <w:rFonts w:ascii="Arial" w:hAnsi="Arial" w:cs="Arial"/>
        </w:rPr>
        <w:t xml:space="preserve"> </w:t>
      </w:r>
      <w:r w:rsidRPr="008B04D1">
        <w:rPr>
          <w:rFonts w:ascii="Arial" w:hAnsi="Arial" w:cs="Arial"/>
        </w:rPr>
        <w:t>basis for benefit to both shareholders and ratepayers of modifying the revenue sharing mechanism</w:t>
      </w:r>
      <w:r>
        <w:rPr>
          <w:rFonts w:ascii="Arial" w:hAnsi="Arial" w:cs="Arial"/>
        </w:rPr>
        <w:t xml:space="preserve"> </w:t>
      </w:r>
      <w:r w:rsidRPr="008B04D1">
        <w:rPr>
          <w:rFonts w:ascii="Arial" w:hAnsi="Arial" w:cs="Arial"/>
        </w:rPr>
        <w:t>is its ability to increase net unbundled storage revenue (regardless of how that increase is</w:t>
      </w:r>
      <w:r>
        <w:rPr>
          <w:rFonts w:ascii="Arial" w:hAnsi="Arial" w:cs="Arial"/>
        </w:rPr>
        <w:t xml:space="preserve"> </w:t>
      </w:r>
      <w:r w:rsidRPr="008B04D1">
        <w:rPr>
          <w:rFonts w:ascii="Arial" w:hAnsi="Arial" w:cs="Arial"/>
        </w:rPr>
        <w:t>achieved)? If not, please explain.</w:t>
      </w:r>
    </w:p>
    <w:p w:rsidR="00F67377" w:rsidRPr="0031141C" w:rsidRDefault="00F67377" w:rsidP="00F67377">
      <w:pPr>
        <w:rPr>
          <w:rFonts w:ascii="Arial" w:hAnsi="Arial" w:cs="Arial"/>
        </w:rPr>
      </w:pPr>
    </w:p>
    <w:p w:rsidR="008B04D1" w:rsidRDefault="008B04D1"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8</w:t>
      </w:r>
      <w:r w:rsidRPr="00F759E8">
        <w:rPr>
          <w:rFonts w:ascii="Arial" w:hAnsi="Arial" w:cs="Arial"/>
          <w:b/>
          <w:u w:val="single"/>
        </w:rPr>
        <w:t>:</w:t>
      </w:r>
    </w:p>
    <w:p w:rsidR="00F67377" w:rsidRDefault="00F67377" w:rsidP="005C6E7A">
      <w:pPr>
        <w:rPr>
          <w:rFonts w:ascii="Arial" w:hAnsi="Arial" w:cs="Arial"/>
          <w:sz w:val="28"/>
          <w:szCs w:val="28"/>
        </w:rPr>
      </w:pPr>
    </w:p>
    <w:p w:rsidR="00F67377" w:rsidRDefault="00F67377" w:rsidP="005C6E7A">
      <w:pPr>
        <w:rPr>
          <w:rFonts w:ascii="Arial" w:hAnsi="Arial" w:cs="Arial"/>
          <w:sz w:val="28"/>
          <w:szCs w:val="28"/>
        </w:rPr>
      </w:pPr>
    </w:p>
    <w:p w:rsidR="00F67377" w:rsidRDefault="00460B56" w:rsidP="00F67377">
      <w:pPr>
        <w:rPr>
          <w:rFonts w:ascii="Arial" w:hAnsi="Arial" w:cs="Arial"/>
          <w:b/>
          <w:u w:val="single"/>
        </w:rPr>
      </w:pPr>
      <w:r w:rsidRPr="00460B56">
        <w:rPr>
          <w:rFonts w:ascii="Arial" w:hAnsi="Arial" w:cs="Arial"/>
        </w:rPr>
        <w:t>Yes.  Greater sharing leads to greater revenue</w:t>
      </w:r>
      <w:r w:rsidR="00697887">
        <w:rPr>
          <w:rFonts w:ascii="Arial" w:hAnsi="Arial" w:cs="Arial"/>
        </w:rPr>
        <w:t>,</w:t>
      </w:r>
      <w:r w:rsidRPr="00460B56">
        <w:rPr>
          <w:rFonts w:ascii="Arial" w:hAnsi="Arial" w:cs="Arial"/>
        </w:rPr>
        <w:t xml:space="preserve"> which benefits both shareholders and ratepayers.</w:t>
      </w:r>
      <w:r w:rsidR="00F67377">
        <w:rPr>
          <w:rFonts w:ascii="Arial" w:hAnsi="Arial" w:cs="Arial"/>
          <w:b/>
          <w:u w:val="single"/>
        </w:rPr>
        <w:br w:type="page"/>
      </w:r>
    </w:p>
    <w:p w:rsidR="00F67377" w:rsidRPr="0031141C" w:rsidRDefault="00F67377" w:rsidP="00F67377">
      <w:pPr>
        <w:rPr>
          <w:rFonts w:ascii="Arial" w:hAnsi="Arial" w:cs="Arial"/>
        </w:rPr>
      </w:pPr>
      <w:r w:rsidRPr="00F759E8">
        <w:rPr>
          <w:rFonts w:ascii="Arial" w:hAnsi="Arial" w:cs="Arial"/>
          <w:b/>
          <w:u w:val="single"/>
        </w:rPr>
        <w:lastRenderedPageBreak/>
        <w:t xml:space="preserve">QUESTION </w:t>
      </w:r>
      <w:r>
        <w:rPr>
          <w:rFonts w:ascii="Arial" w:hAnsi="Arial" w:cs="Arial"/>
          <w:b/>
          <w:u w:val="single"/>
        </w:rPr>
        <w:t>9</w:t>
      </w:r>
      <w:r w:rsidRPr="00F759E8">
        <w:rPr>
          <w:rFonts w:ascii="Arial" w:hAnsi="Arial" w:cs="Arial"/>
          <w:b/>
          <w:u w:val="single"/>
        </w:rPr>
        <w:t>:</w:t>
      </w:r>
    </w:p>
    <w:p w:rsidR="00F67377" w:rsidRPr="0031141C" w:rsidRDefault="00F67377" w:rsidP="00F67377">
      <w:pPr>
        <w:rPr>
          <w:rFonts w:ascii="Arial" w:hAnsi="Arial" w:cs="Arial"/>
        </w:rPr>
      </w:pPr>
    </w:p>
    <w:p w:rsidR="008B04D1" w:rsidRPr="008B04D1" w:rsidRDefault="008B04D1" w:rsidP="008B04D1">
      <w:pPr>
        <w:autoSpaceDE w:val="0"/>
        <w:autoSpaceDN w:val="0"/>
        <w:adjustRightInd w:val="0"/>
        <w:rPr>
          <w:rFonts w:ascii="Arial" w:hAnsi="Arial" w:cs="Arial"/>
        </w:rPr>
      </w:pPr>
      <w:r w:rsidRPr="008B04D1">
        <w:rPr>
          <w:rFonts w:ascii="Arial" w:hAnsi="Arial" w:cs="Arial"/>
        </w:rPr>
        <w:t>SCG and SDG&amp;E’s testimony (Marelli testimony pages 1-2, lines 20-23 and 1, respectively)</w:t>
      </w:r>
      <w:r>
        <w:rPr>
          <w:rFonts w:ascii="Arial" w:hAnsi="Arial" w:cs="Arial"/>
        </w:rPr>
        <w:t xml:space="preserve"> </w:t>
      </w:r>
      <w:r w:rsidRPr="008B04D1">
        <w:rPr>
          <w:rFonts w:ascii="Arial" w:hAnsi="Arial" w:cs="Arial"/>
        </w:rPr>
        <w:t>states: “Revenue-sharing incentives for the unbundled storage program are in the best interest of</w:t>
      </w:r>
      <w:r>
        <w:rPr>
          <w:rFonts w:ascii="Arial" w:hAnsi="Arial" w:cs="Arial"/>
        </w:rPr>
        <w:t xml:space="preserve"> </w:t>
      </w:r>
      <w:r w:rsidRPr="008B04D1">
        <w:rPr>
          <w:rFonts w:ascii="Arial" w:hAnsi="Arial" w:cs="Arial"/>
        </w:rPr>
        <w:t>SoCalGas and SDG&amp;E’s customers because they encourage us to maximize customer benefits</w:t>
      </w:r>
      <w:r>
        <w:rPr>
          <w:rFonts w:ascii="Arial" w:hAnsi="Arial" w:cs="Arial"/>
        </w:rPr>
        <w:t xml:space="preserve"> </w:t>
      </w:r>
      <w:r w:rsidRPr="008B04D1">
        <w:rPr>
          <w:rFonts w:ascii="Arial" w:hAnsi="Arial" w:cs="Arial"/>
        </w:rPr>
        <w:t>from unbundled storage program revenues through aggressive negotiations with counterparties,</w:t>
      </w:r>
      <w:r>
        <w:rPr>
          <w:rFonts w:ascii="Arial" w:hAnsi="Arial" w:cs="Arial"/>
        </w:rPr>
        <w:t xml:space="preserve"> </w:t>
      </w:r>
      <w:r w:rsidRPr="008B04D1">
        <w:rPr>
          <w:rFonts w:ascii="Arial" w:hAnsi="Arial" w:cs="Arial"/>
        </w:rPr>
        <w:t>creative product marketing, and storage field operations”</w:t>
      </w:r>
    </w:p>
    <w:p w:rsidR="008B04D1" w:rsidRPr="008B04D1" w:rsidRDefault="008B04D1" w:rsidP="008B04D1">
      <w:pPr>
        <w:autoSpaceDE w:val="0"/>
        <w:autoSpaceDN w:val="0"/>
        <w:adjustRightInd w:val="0"/>
        <w:rPr>
          <w:rFonts w:ascii="Arial" w:hAnsi="Arial" w:cs="Arial"/>
          <w:sz w:val="20"/>
          <w:szCs w:val="20"/>
        </w:rPr>
      </w:pPr>
    </w:p>
    <w:p w:rsidR="008B04D1" w:rsidRPr="008B04D1" w:rsidRDefault="008B04D1" w:rsidP="008B04D1">
      <w:pPr>
        <w:autoSpaceDE w:val="0"/>
        <w:autoSpaceDN w:val="0"/>
        <w:adjustRightInd w:val="0"/>
        <w:rPr>
          <w:rFonts w:ascii="Arial" w:hAnsi="Arial" w:cs="Arial"/>
        </w:rPr>
      </w:pPr>
      <w:proofErr w:type="gramStart"/>
      <w:r w:rsidRPr="008B04D1">
        <w:rPr>
          <w:rFonts w:ascii="Arial" w:hAnsi="Arial" w:cs="Arial"/>
        </w:rPr>
        <w:t>a</w:t>
      </w:r>
      <w:proofErr w:type="gramEnd"/>
      <w:r w:rsidRPr="008B04D1">
        <w:rPr>
          <w:rFonts w:ascii="Arial" w:hAnsi="Arial" w:cs="Arial"/>
        </w:rPr>
        <w:t>. Aside from related support or administrative changes, is “aggressive negotiations with</w:t>
      </w:r>
    </w:p>
    <w:p w:rsidR="008B04D1" w:rsidRPr="008B04D1" w:rsidRDefault="008B04D1" w:rsidP="008B04D1">
      <w:pPr>
        <w:autoSpaceDE w:val="0"/>
        <w:autoSpaceDN w:val="0"/>
        <w:adjustRightInd w:val="0"/>
        <w:rPr>
          <w:rFonts w:ascii="Arial" w:hAnsi="Arial" w:cs="Arial"/>
        </w:rPr>
      </w:pPr>
      <w:proofErr w:type="gramStart"/>
      <w:r w:rsidRPr="008B04D1">
        <w:rPr>
          <w:rFonts w:ascii="Arial" w:hAnsi="Arial" w:cs="Arial"/>
        </w:rPr>
        <w:t>counterparties</w:t>
      </w:r>
      <w:proofErr w:type="gramEnd"/>
      <w:r w:rsidRPr="008B04D1">
        <w:rPr>
          <w:rFonts w:ascii="Arial" w:hAnsi="Arial" w:cs="Arial"/>
        </w:rPr>
        <w:t>, creative product marketing, and storage field operations” an exhaustive list</w:t>
      </w:r>
      <w:r>
        <w:rPr>
          <w:rFonts w:ascii="Arial" w:hAnsi="Arial" w:cs="Arial"/>
        </w:rPr>
        <w:t xml:space="preserve"> </w:t>
      </w:r>
      <w:r w:rsidRPr="008B04D1">
        <w:rPr>
          <w:rFonts w:ascii="Arial" w:hAnsi="Arial" w:cs="Arial"/>
        </w:rPr>
        <w:t>of programs and changes that SCG and SDG&amp;E would pursue if the 60/40 revenue</w:t>
      </w:r>
      <w:r>
        <w:rPr>
          <w:rFonts w:ascii="Arial" w:hAnsi="Arial" w:cs="Arial"/>
        </w:rPr>
        <w:t xml:space="preserve"> </w:t>
      </w:r>
      <w:r w:rsidRPr="008B04D1">
        <w:rPr>
          <w:rFonts w:ascii="Arial" w:hAnsi="Arial" w:cs="Arial"/>
        </w:rPr>
        <w:t>sharing</w:t>
      </w:r>
      <w:r>
        <w:rPr>
          <w:rFonts w:ascii="Arial" w:hAnsi="Arial" w:cs="Arial"/>
        </w:rPr>
        <w:t xml:space="preserve"> </w:t>
      </w:r>
      <w:r w:rsidRPr="008B04D1">
        <w:rPr>
          <w:rFonts w:ascii="Arial" w:hAnsi="Arial" w:cs="Arial"/>
        </w:rPr>
        <w:t>mechanism was approved as-is? If not, please provide descriptions of all other</w:t>
      </w:r>
    </w:p>
    <w:p w:rsidR="008B04D1" w:rsidRDefault="008B04D1" w:rsidP="008B04D1">
      <w:pPr>
        <w:autoSpaceDE w:val="0"/>
        <w:autoSpaceDN w:val="0"/>
        <w:adjustRightInd w:val="0"/>
        <w:rPr>
          <w:rFonts w:ascii="Arial" w:hAnsi="Arial" w:cs="Arial"/>
        </w:rPr>
      </w:pPr>
      <w:proofErr w:type="gramStart"/>
      <w:r w:rsidRPr="008B04D1">
        <w:rPr>
          <w:rFonts w:ascii="Arial" w:hAnsi="Arial" w:cs="Arial"/>
        </w:rPr>
        <w:t>programs</w:t>
      </w:r>
      <w:proofErr w:type="gramEnd"/>
      <w:r w:rsidRPr="008B04D1">
        <w:rPr>
          <w:rFonts w:ascii="Arial" w:hAnsi="Arial" w:cs="Arial"/>
        </w:rPr>
        <w:t xml:space="preserve"> or changes that SCG and SDG&amp;E would implement.</w:t>
      </w:r>
    </w:p>
    <w:p w:rsidR="008B04D1" w:rsidRPr="008B04D1" w:rsidRDefault="008B04D1" w:rsidP="008B04D1">
      <w:pPr>
        <w:autoSpaceDE w:val="0"/>
        <w:autoSpaceDN w:val="0"/>
        <w:adjustRightInd w:val="0"/>
        <w:rPr>
          <w:rFonts w:ascii="Arial" w:hAnsi="Arial" w:cs="Arial"/>
        </w:rPr>
      </w:pPr>
    </w:p>
    <w:p w:rsidR="00F67377" w:rsidRPr="008B04D1" w:rsidRDefault="008B04D1" w:rsidP="008B04D1">
      <w:pPr>
        <w:autoSpaceDE w:val="0"/>
        <w:autoSpaceDN w:val="0"/>
        <w:adjustRightInd w:val="0"/>
        <w:rPr>
          <w:rFonts w:ascii="Arial" w:hAnsi="Arial" w:cs="Arial"/>
        </w:rPr>
      </w:pPr>
      <w:r w:rsidRPr="008B04D1">
        <w:rPr>
          <w:rFonts w:ascii="Arial" w:hAnsi="Arial" w:cs="Arial"/>
        </w:rPr>
        <w:t xml:space="preserve">b. In addition, please provide implementation details and </w:t>
      </w:r>
      <w:proofErr w:type="spellStart"/>
      <w:r w:rsidRPr="008B04D1">
        <w:rPr>
          <w:rFonts w:ascii="Arial" w:hAnsi="Arial" w:cs="Arial"/>
        </w:rPr>
        <w:t>workpapers</w:t>
      </w:r>
      <w:proofErr w:type="spellEnd"/>
      <w:r w:rsidRPr="008B04D1">
        <w:rPr>
          <w:rFonts w:ascii="Arial" w:hAnsi="Arial" w:cs="Arial"/>
        </w:rPr>
        <w:t xml:space="preserve"> related to the programs</w:t>
      </w:r>
      <w:r>
        <w:rPr>
          <w:rFonts w:ascii="Arial" w:hAnsi="Arial" w:cs="Arial"/>
        </w:rPr>
        <w:t xml:space="preserve"> </w:t>
      </w:r>
      <w:r w:rsidRPr="008B04D1">
        <w:rPr>
          <w:rFonts w:ascii="Arial" w:hAnsi="Arial" w:cs="Arial"/>
        </w:rPr>
        <w:t>identified in response to part (a). If none exist, please state to what extent SCG and</w:t>
      </w:r>
      <w:r>
        <w:rPr>
          <w:rFonts w:ascii="Arial" w:hAnsi="Arial" w:cs="Arial"/>
        </w:rPr>
        <w:t xml:space="preserve"> </w:t>
      </w:r>
      <w:r w:rsidRPr="008B04D1">
        <w:rPr>
          <w:rFonts w:ascii="Arial" w:hAnsi="Arial" w:cs="Arial"/>
        </w:rPr>
        <w:t>SDG&amp;E have planned or considered implementing such programs.</w:t>
      </w:r>
    </w:p>
    <w:p w:rsidR="00582C14" w:rsidRPr="0031141C" w:rsidRDefault="00582C14" w:rsidP="00F67377">
      <w:pPr>
        <w:rPr>
          <w:rFonts w:ascii="Arial" w:hAnsi="Arial" w:cs="Arial"/>
        </w:rPr>
      </w:pPr>
    </w:p>
    <w:p w:rsidR="008B04D1" w:rsidRDefault="008B04D1"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 xml:space="preserve">RESPONSE </w:t>
      </w:r>
      <w:r>
        <w:rPr>
          <w:rFonts w:ascii="Arial" w:hAnsi="Arial" w:cs="Arial"/>
          <w:b/>
          <w:u w:val="single"/>
        </w:rPr>
        <w:t>9</w:t>
      </w:r>
      <w:r w:rsidRPr="00F759E8">
        <w:rPr>
          <w:rFonts w:ascii="Arial" w:hAnsi="Arial" w:cs="Arial"/>
          <w:b/>
          <w:u w:val="single"/>
        </w:rPr>
        <w:t>:</w:t>
      </w:r>
    </w:p>
    <w:p w:rsidR="00F67377" w:rsidRDefault="00F67377" w:rsidP="005C6E7A">
      <w:pPr>
        <w:rPr>
          <w:rFonts w:ascii="Arial" w:hAnsi="Arial" w:cs="Arial"/>
          <w:sz w:val="28"/>
          <w:szCs w:val="28"/>
        </w:rPr>
      </w:pPr>
    </w:p>
    <w:p w:rsidR="00A671D3" w:rsidRDefault="00061BFA" w:rsidP="005C6E7A">
      <w:pPr>
        <w:rPr>
          <w:rFonts w:ascii="Arial" w:hAnsi="Arial" w:cs="Arial"/>
        </w:rPr>
      </w:pPr>
      <w:r>
        <w:rPr>
          <w:rFonts w:ascii="Arial" w:hAnsi="Arial" w:cs="Arial"/>
        </w:rPr>
        <w:t xml:space="preserve">The list is not exhaustive.  Rather, these are examples of the type of things SoCalGas might seek to pursue with a revised sharing mechanism.  </w:t>
      </w:r>
      <w:r w:rsidR="00A671D3">
        <w:rPr>
          <w:rFonts w:ascii="Arial" w:hAnsi="Arial" w:cs="Arial"/>
        </w:rPr>
        <w:t>With greater sharing, SoCalGas would have a strong incentive to pursue programs that would bring in additional unbundled storage revenues.  But until the sharing mechanism is revised, it would not make sense for SoCalGas to spend resources developing such programs.</w:t>
      </w:r>
    </w:p>
    <w:p w:rsidR="00A85689" w:rsidRDefault="00F67377" w:rsidP="00F67377">
      <w:pPr>
        <w:rPr>
          <w:rFonts w:ascii="Arial" w:hAnsi="Arial" w:cs="Arial"/>
          <w:b/>
          <w:u w:val="single"/>
        </w:rPr>
      </w:pPr>
      <w:r>
        <w:rPr>
          <w:rFonts w:ascii="Arial" w:hAnsi="Arial" w:cs="Arial"/>
          <w:b/>
          <w:u w:val="single"/>
        </w:rPr>
        <w:br w:type="page"/>
      </w:r>
    </w:p>
    <w:p w:rsidR="00F67377" w:rsidRPr="0031141C" w:rsidRDefault="00F67377" w:rsidP="00F67377">
      <w:pPr>
        <w:rPr>
          <w:rFonts w:ascii="Arial" w:hAnsi="Arial" w:cs="Arial"/>
        </w:rPr>
      </w:pPr>
      <w:r w:rsidRPr="00F759E8">
        <w:rPr>
          <w:rFonts w:ascii="Arial" w:hAnsi="Arial" w:cs="Arial"/>
          <w:b/>
          <w:u w:val="single"/>
        </w:rPr>
        <w:lastRenderedPageBreak/>
        <w:t>QUESTION 1</w:t>
      </w:r>
      <w:r>
        <w:rPr>
          <w:rFonts w:ascii="Arial" w:hAnsi="Arial" w:cs="Arial"/>
          <w:b/>
          <w:u w:val="single"/>
        </w:rPr>
        <w:t>0</w:t>
      </w:r>
      <w:r w:rsidRPr="00F759E8">
        <w:rPr>
          <w:rFonts w:ascii="Arial" w:hAnsi="Arial" w:cs="Arial"/>
          <w:b/>
          <w:u w:val="single"/>
        </w:rPr>
        <w:t>:</w:t>
      </w:r>
    </w:p>
    <w:p w:rsidR="00582C14" w:rsidRPr="0031141C" w:rsidRDefault="00582C14" w:rsidP="00F67377">
      <w:pPr>
        <w:rPr>
          <w:rFonts w:ascii="Arial" w:hAnsi="Arial" w:cs="Arial"/>
        </w:rPr>
      </w:pPr>
    </w:p>
    <w:p w:rsidR="008B04D1" w:rsidRDefault="008B04D1" w:rsidP="008B04D1">
      <w:pPr>
        <w:autoSpaceDE w:val="0"/>
        <w:autoSpaceDN w:val="0"/>
        <w:adjustRightInd w:val="0"/>
        <w:rPr>
          <w:rFonts w:ascii="Arial" w:hAnsi="Arial" w:cs="Arial"/>
        </w:rPr>
      </w:pPr>
      <w:r w:rsidRPr="008B04D1">
        <w:rPr>
          <w:rFonts w:ascii="Arial" w:hAnsi="Arial" w:cs="Arial"/>
        </w:rPr>
        <w:t xml:space="preserve">In reference to SCG and SDG&amp;E’s testimony </w:t>
      </w:r>
      <w:r w:rsidRPr="008B04D1">
        <w:rPr>
          <w:rFonts w:ascii="Arial" w:hAnsi="Arial" w:cs="Arial"/>
          <w:b/>
          <w:bCs/>
        </w:rPr>
        <w:t>(</w:t>
      </w:r>
      <w:r w:rsidRPr="008B04D1">
        <w:rPr>
          <w:rFonts w:ascii="Arial" w:hAnsi="Arial" w:cs="Arial"/>
        </w:rPr>
        <w:t>Watson testimony pages 15-16, lines 19-23 and 1-</w:t>
      </w:r>
      <w:r>
        <w:rPr>
          <w:rFonts w:ascii="Arial" w:hAnsi="Arial" w:cs="Arial"/>
        </w:rPr>
        <w:t xml:space="preserve"> </w:t>
      </w:r>
      <w:r w:rsidRPr="008B04D1">
        <w:rPr>
          <w:rFonts w:ascii="Arial" w:hAnsi="Arial" w:cs="Arial"/>
        </w:rPr>
        <w:t>8, respectively) regarding the elimination of the posting requirement for unbundled storage</w:t>
      </w:r>
      <w:r>
        <w:rPr>
          <w:rFonts w:ascii="Arial" w:hAnsi="Arial" w:cs="Arial"/>
        </w:rPr>
        <w:t xml:space="preserve"> </w:t>
      </w:r>
      <w:r w:rsidRPr="008B04D1">
        <w:rPr>
          <w:rFonts w:ascii="Arial" w:hAnsi="Arial" w:cs="Arial"/>
        </w:rPr>
        <w:t>transaction details:</w:t>
      </w:r>
    </w:p>
    <w:p w:rsidR="008B04D1" w:rsidRPr="008B04D1" w:rsidRDefault="008B04D1" w:rsidP="008B04D1">
      <w:pPr>
        <w:autoSpaceDE w:val="0"/>
        <w:autoSpaceDN w:val="0"/>
        <w:adjustRightInd w:val="0"/>
        <w:rPr>
          <w:rFonts w:ascii="Arial" w:hAnsi="Arial" w:cs="Arial"/>
        </w:rPr>
      </w:pPr>
    </w:p>
    <w:p w:rsidR="008B04D1" w:rsidRPr="008B04D1" w:rsidRDefault="008B04D1" w:rsidP="008B04D1">
      <w:pPr>
        <w:autoSpaceDE w:val="0"/>
        <w:autoSpaceDN w:val="0"/>
        <w:adjustRightInd w:val="0"/>
        <w:rPr>
          <w:rFonts w:ascii="Arial" w:hAnsi="Arial" w:cs="Arial"/>
        </w:rPr>
      </w:pPr>
      <w:r w:rsidRPr="008B04D1">
        <w:rPr>
          <w:rFonts w:ascii="Arial" w:hAnsi="Arial" w:cs="Arial"/>
        </w:rPr>
        <w:t xml:space="preserve">a. What benefit would SCG and SDG&amp;E derive from the elimination of the </w:t>
      </w:r>
      <w:proofErr w:type="gramStart"/>
      <w:r w:rsidRPr="008B04D1">
        <w:rPr>
          <w:rFonts w:ascii="Arial" w:hAnsi="Arial" w:cs="Arial"/>
        </w:rPr>
        <w:t>unbundled</w:t>
      </w:r>
      <w:proofErr w:type="gramEnd"/>
    </w:p>
    <w:p w:rsidR="008B04D1" w:rsidRDefault="008B04D1" w:rsidP="008B04D1">
      <w:pPr>
        <w:autoSpaceDE w:val="0"/>
        <w:autoSpaceDN w:val="0"/>
        <w:adjustRightInd w:val="0"/>
        <w:rPr>
          <w:rFonts w:ascii="Arial" w:hAnsi="Arial" w:cs="Arial"/>
        </w:rPr>
      </w:pPr>
      <w:proofErr w:type="gramStart"/>
      <w:r w:rsidRPr="008B04D1">
        <w:rPr>
          <w:rFonts w:ascii="Arial" w:hAnsi="Arial" w:cs="Arial"/>
        </w:rPr>
        <w:t>storage</w:t>
      </w:r>
      <w:proofErr w:type="gramEnd"/>
      <w:r w:rsidRPr="008B04D1">
        <w:rPr>
          <w:rFonts w:ascii="Arial" w:hAnsi="Arial" w:cs="Arial"/>
        </w:rPr>
        <w:t xml:space="preserve"> transaction posting requirement?</w:t>
      </w:r>
    </w:p>
    <w:p w:rsidR="008B04D1" w:rsidRPr="008B04D1" w:rsidRDefault="008B04D1" w:rsidP="008B04D1">
      <w:pPr>
        <w:autoSpaceDE w:val="0"/>
        <w:autoSpaceDN w:val="0"/>
        <w:adjustRightInd w:val="0"/>
        <w:rPr>
          <w:rFonts w:ascii="Arial" w:hAnsi="Arial" w:cs="Arial"/>
        </w:rPr>
      </w:pPr>
    </w:p>
    <w:p w:rsidR="008B04D1" w:rsidRDefault="008B04D1" w:rsidP="008B04D1">
      <w:pPr>
        <w:autoSpaceDE w:val="0"/>
        <w:autoSpaceDN w:val="0"/>
        <w:adjustRightInd w:val="0"/>
        <w:ind w:left="270" w:hanging="270"/>
        <w:rPr>
          <w:rFonts w:ascii="Arial" w:hAnsi="Arial" w:cs="Arial"/>
        </w:rPr>
      </w:pPr>
      <w:proofErr w:type="spellStart"/>
      <w:proofErr w:type="gramStart"/>
      <w:r>
        <w:rPr>
          <w:rFonts w:ascii="Arial" w:hAnsi="Arial" w:cs="Arial"/>
        </w:rPr>
        <w:t>b.</w:t>
      </w:r>
      <w:r w:rsidRPr="008B04D1">
        <w:rPr>
          <w:rFonts w:ascii="Arial" w:hAnsi="Arial" w:cs="Arial"/>
        </w:rPr>
        <w:t>What</w:t>
      </w:r>
      <w:proofErr w:type="spellEnd"/>
      <w:proofErr w:type="gramEnd"/>
      <w:r w:rsidRPr="008B04D1">
        <w:rPr>
          <w:rFonts w:ascii="Arial" w:hAnsi="Arial" w:cs="Arial"/>
        </w:rPr>
        <w:t xml:space="preserve"> benefit would shareholders derive from the elimination of the unbundled storage</w:t>
      </w:r>
      <w:r>
        <w:rPr>
          <w:rFonts w:ascii="Arial" w:hAnsi="Arial" w:cs="Arial"/>
        </w:rPr>
        <w:t xml:space="preserve"> </w:t>
      </w:r>
      <w:r w:rsidRPr="008B04D1">
        <w:rPr>
          <w:rFonts w:ascii="Arial" w:hAnsi="Arial" w:cs="Arial"/>
        </w:rPr>
        <w:t>transaction posting requirement?</w:t>
      </w:r>
    </w:p>
    <w:p w:rsidR="008B04D1" w:rsidRPr="008B04D1" w:rsidRDefault="008B04D1" w:rsidP="008B04D1">
      <w:pPr>
        <w:autoSpaceDE w:val="0"/>
        <w:autoSpaceDN w:val="0"/>
        <w:adjustRightInd w:val="0"/>
        <w:ind w:left="720"/>
        <w:rPr>
          <w:rFonts w:ascii="Arial" w:hAnsi="Arial" w:cs="Arial"/>
        </w:rPr>
      </w:pPr>
    </w:p>
    <w:p w:rsidR="008B04D1" w:rsidRPr="008B04D1" w:rsidRDefault="008B04D1" w:rsidP="008B04D1">
      <w:pPr>
        <w:autoSpaceDE w:val="0"/>
        <w:autoSpaceDN w:val="0"/>
        <w:adjustRightInd w:val="0"/>
        <w:rPr>
          <w:rFonts w:ascii="Arial" w:hAnsi="Arial" w:cs="Arial"/>
        </w:rPr>
      </w:pPr>
      <w:r w:rsidRPr="008B04D1">
        <w:rPr>
          <w:rFonts w:ascii="Arial" w:hAnsi="Arial" w:cs="Arial"/>
        </w:rPr>
        <w:t xml:space="preserve">c. What benefit would ratepayers derive from the elimination of the unbundled </w:t>
      </w:r>
      <w:proofErr w:type="gramStart"/>
      <w:r w:rsidRPr="008B04D1">
        <w:rPr>
          <w:rFonts w:ascii="Arial" w:hAnsi="Arial" w:cs="Arial"/>
        </w:rPr>
        <w:t>storage</w:t>
      </w:r>
      <w:proofErr w:type="gramEnd"/>
    </w:p>
    <w:p w:rsidR="00F67377" w:rsidRPr="008B04D1" w:rsidRDefault="008B04D1" w:rsidP="008B04D1">
      <w:pPr>
        <w:rPr>
          <w:rFonts w:ascii="Arial" w:hAnsi="Arial" w:cs="Arial"/>
        </w:rPr>
      </w:pPr>
      <w:proofErr w:type="gramStart"/>
      <w:r w:rsidRPr="008B04D1">
        <w:rPr>
          <w:rFonts w:ascii="Arial" w:hAnsi="Arial" w:cs="Arial"/>
        </w:rPr>
        <w:t>transaction</w:t>
      </w:r>
      <w:proofErr w:type="gramEnd"/>
      <w:r w:rsidRPr="008B04D1">
        <w:rPr>
          <w:rFonts w:ascii="Arial" w:hAnsi="Arial" w:cs="Arial"/>
        </w:rPr>
        <w:t xml:space="preserve"> posting requirement?</w:t>
      </w:r>
    </w:p>
    <w:p w:rsidR="008B04D1" w:rsidRDefault="008B04D1" w:rsidP="00F67377">
      <w:pPr>
        <w:rPr>
          <w:rFonts w:ascii="Arial" w:hAnsi="Arial" w:cs="Arial"/>
          <w:b/>
          <w:u w:val="single"/>
        </w:rPr>
      </w:pPr>
    </w:p>
    <w:p w:rsidR="008B04D1" w:rsidRDefault="008B04D1"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0</w:t>
      </w:r>
      <w:r w:rsidRPr="00F759E8">
        <w:rPr>
          <w:rFonts w:ascii="Arial" w:hAnsi="Arial" w:cs="Arial"/>
          <w:b/>
          <w:u w:val="single"/>
        </w:rPr>
        <w:t>:</w:t>
      </w:r>
    </w:p>
    <w:p w:rsidR="00F67377" w:rsidRDefault="00F67377" w:rsidP="005C6E7A">
      <w:pPr>
        <w:rPr>
          <w:rFonts w:ascii="Arial" w:hAnsi="Arial" w:cs="Arial"/>
          <w:sz w:val="28"/>
          <w:szCs w:val="28"/>
        </w:rPr>
      </w:pPr>
    </w:p>
    <w:p w:rsidR="00F67377" w:rsidRDefault="00423161" w:rsidP="000E667C">
      <w:pPr>
        <w:autoSpaceDE w:val="0"/>
        <w:autoSpaceDN w:val="0"/>
        <w:adjustRightInd w:val="0"/>
        <w:spacing w:after="120"/>
        <w:ind w:left="630" w:hanging="270"/>
        <w:rPr>
          <w:rFonts w:ascii="Arial" w:hAnsi="Arial" w:cs="Arial"/>
        </w:rPr>
      </w:pPr>
      <w:r>
        <w:rPr>
          <w:rFonts w:ascii="Arial" w:hAnsi="Arial" w:cs="Arial"/>
        </w:rPr>
        <w:t xml:space="preserve">A </w:t>
      </w:r>
      <w:r w:rsidR="00460B56">
        <w:rPr>
          <w:rFonts w:ascii="Arial" w:hAnsi="Arial" w:cs="Arial"/>
        </w:rPr>
        <w:t>.</w:t>
      </w:r>
      <w:proofErr w:type="spellStart"/>
      <w:r w:rsidR="00460B56" w:rsidRPr="00460B56">
        <w:rPr>
          <w:rFonts w:ascii="Arial" w:hAnsi="Arial" w:cs="Arial"/>
        </w:rPr>
        <w:t>Backoffice</w:t>
      </w:r>
      <w:proofErr w:type="spellEnd"/>
      <w:r w:rsidR="00460B56" w:rsidRPr="00460B56">
        <w:rPr>
          <w:rFonts w:ascii="Arial" w:hAnsi="Arial" w:cs="Arial"/>
        </w:rPr>
        <w:t xml:space="preserve"> staff work would be reduced</w:t>
      </w:r>
      <w:r w:rsidR="00AB7965">
        <w:rPr>
          <w:rFonts w:ascii="Arial" w:hAnsi="Arial" w:cs="Arial"/>
        </w:rPr>
        <w:t xml:space="preserve"> by eliminating an unnecessary requirement</w:t>
      </w:r>
      <w:r w:rsidR="00460B56" w:rsidRPr="00460B56">
        <w:rPr>
          <w:rFonts w:ascii="Arial" w:hAnsi="Arial" w:cs="Arial"/>
        </w:rPr>
        <w:t>.</w:t>
      </w:r>
      <w:r>
        <w:rPr>
          <w:rFonts w:ascii="Arial" w:hAnsi="Arial" w:cs="Arial"/>
        </w:rPr>
        <w:t xml:space="preserve">  Certain legal/regulatory risks associated with incorrect, late, or incomplete postings are also eliminated.</w:t>
      </w:r>
    </w:p>
    <w:p w:rsidR="00D5051D" w:rsidRDefault="00D5051D" w:rsidP="00D5051D">
      <w:pPr>
        <w:autoSpaceDE w:val="0"/>
        <w:autoSpaceDN w:val="0"/>
        <w:adjustRightInd w:val="0"/>
        <w:spacing w:after="120"/>
        <w:ind w:left="720" w:hanging="360"/>
        <w:rPr>
          <w:rFonts w:ascii="Arial" w:hAnsi="Arial" w:cs="Arial"/>
        </w:rPr>
      </w:pPr>
      <w:r>
        <w:rPr>
          <w:rFonts w:ascii="Arial" w:hAnsi="Arial" w:cs="Arial"/>
        </w:rPr>
        <w:t>b.</w:t>
      </w:r>
      <w:r>
        <w:rPr>
          <w:rFonts w:ascii="Arial" w:hAnsi="Arial" w:cs="Arial"/>
        </w:rPr>
        <w:tab/>
        <w:t>It is unclear how the elimination of the deal posting requirement would affect storage revenues.  But both ratepayers and shareholders should benefit indirectly through the elimination of unnecessary posting requirements.</w:t>
      </w:r>
    </w:p>
    <w:p w:rsidR="00D5051D" w:rsidRDefault="00D5051D" w:rsidP="00D5051D">
      <w:pPr>
        <w:autoSpaceDE w:val="0"/>
        <w:autoSpaceDN w:val="0"/>
        <w:adjustRightInd w:val="0"/>
        <w:spacing w:after="120"/>
        <w:ind w:left="630" w:hanging="270"/>
        <w:rPr>
          <w:rFonts w:ascii="Arial" w:hAnsi="Arial" w:cs="Arial"/>
        </w:rPr>
      </w:pPr>
      <w:r>
        <w:rPr>
          <w:rFonts w:ascii="Arial" w:hAnsi="Arial" w:cs="Arial"/>
        </w:rPr>
        <w:t>c. It is unclear how the elimination of the deal posting requirement would affect storage revenues.  But both ratepayers and shareholders should benefit indirectly through the elimination of unnecessary posting requirements.</w:t>
      </w:r>
    </w:p>
    <w:p w:rsidR="00460B56" w:rsidRPr="00460B56" w:rsidRDefault="00460B56" w:rsidP="004D402B">
      <w:pPr>
        <w:autoSpaceDE w:val="0"/>
        <w:autoSpaceDN w:val="0"/>
        <w:adjustRightInd w:val="0"/>
        <w:spacing w:after="120"/>
        <w:ind w:left="360"/>
        <w:rPr>
          <w:rFonts w:ascii="Arial" w:hAnsi="Arial" w:cs="Arial"/>
        </w:rPr>
      </w:pPr>
    </w:p>
    <w:p w:rsidR="00A85689" w:rsidRDefault="00F67377" w:rsidP="000E667C">
      <w:pPr>
        <w:autoSpaceDE w:val="0"/>
        <w:autoSpaceDN w:val="0"/>
        <w:adjustRightInd w:val="0"/>
        <w:spacing w:after="120"/>
        <w:ind w:left="270" w:hanging="270"/>
        <w:rPr>
          <w:rFonts w:ascii="Arial" w:hAnsi="Arial" w:cs="Arial"/>
          <w:b/>
          <w:u w:val="single"/>
        </w:rPr>
      </w:pPr>
      <w:r w:rsidRPr="00460B56">
        <w:rPr>
          <w:rFonts w:ascii="Arial" w:hAnsi="Arial" w:cs="Arial"/>
        </w:rPr>
        <w:br w:type="page"/>
      </w:r>
    </w:p>
    <w:p w:rsidR="00663B29" w:rsidRDefault="00663B29" w:rsidP="00F67377">
      <w:pPr>
        <w:rPr>
          <w:rFonts w:ascii="Arial" w:hAnsi="Arial" w:cs="Arial"/>
          <w:b/>
          <w:u w:val="single"/>
        </w:rPr>
      </w:pPr>
    </w:p>
    <w:p w:rsidR="00F67377" w:rsidRPr="0031141C" w:rsidRDefault="00F67377" w:rsidP="00F67377">
      <w:pPr>
        <w:rPr>
          <w:rFonts w:ascii="Arial" w:hAnsi="Arial" w:cs="Arial"/>
        </w:rPr>
      </w:pPr>
      <w:r w:rsidRPr="00F759E8">
        <w:rPr>
          <w:rFonts w:ascii="Arial" w:hAnsi="Arial" w:cs="Arial"/>
          <w:b/>
          <w:u w:val="single"/>
        </w:rPr>
        <w:t>QUESTION 1</w:t>
      </w:r>
      <w:r>
        <w:rPr>
          <w:rFonts w:ascii="Arial" w:hAnsi="Arial" w:cs="Arial"/>
          <w:b/>
          <w:u w:val="single"/>
        </w:rPr>
        <w:t>1</w:t>
      </w:r>
      <w:r w:rsidRPr="00F759E8">
        <w:rPr>
          <w:rFonts w:ascii="Arial" w:hAnsi="Arial" w:cs="Arial"/>
          <w:b/>
          <w:u w:val="single"/>
        </w:rPr>
        <w:t>:</w:t>
      </w:r>
    </w:p>
    <w:p w:rsidR="00F67377" w:rsidRPr="0031141C" w:rsidRDefault="00F67377" w:rsidP="00F67377">
      <w:pPr>
        <w:rPr>
          <w:rFonts w:ascii="Arial" w:hAnsi="Arial" w:cs="Arial"/>
        </w:rPr>
      </w:pPr>
    </w:p>
    <w:p w:rsidR="008B04D1" w:rsidRDefault="008B04D1" w:rsidP="008B04D1">
      <w:pPr>
        <w:autoSpaceDE w:val="0"/>
        <w:autoSpaceDN w:val="0"/>
        <w:adjustRightInd w:val="0"/>
        <w:rPr>
          <w:rFonts w:ascii="Arial" w:hAnsi="Arial" w:cs="Arial"/>
        </w:rPr>
      </w:pPr>
      <w:r w:rsidRPr="008B04D1">
        <w:rPr>
          <w:rFonts w:ascii="Arial" w:hAnsi="Arial" w:cs="Arial"/>
        </w:rPr>
        <w:t>In reference to the unbundled storage transaction posting requirement, SCG and SDG&amp;E’s</w:t>
      </w:r>
      <w:r>
        <w:rPr>
          <w:rFonts w:ascii="Arial" w:hAnsi="Arial" w:cs="Arial"/>
        </w:rPr>
        <w:t xml:space="preserve"> </w:t>
      </w:r>
      <w:r w:rsidRPr="008B04D1">
        <w:rPr>
          <w:rFonts w:ascii="Arial" w:hAnsi="Arial" w:cs="Arial"/>
        </w:rPr>
        <w:t>testimony states: “Since SoCalGas is only able to charge its unbundled storage customers the</w:t>
      </w:r>
      <w:r>
        <w:rPr>
          <w:rFonts w:ascii="Arial" w:hAnsi="Arial" w:cs="Arial"/>
        </w:rPr>
        <w:t xml:space="preserve"> </w:t>
      </w:r>
      <w:r w:rsidRPr="008B04D1">
        <w:rPr>
          <w:rFonts w:ascii="Arial" w:hAnsi="Arial" w:cs="Arial"/>
        </w:rPr>
        <w:t>price they feel is warranted for a particular storage product, the posting of the prices paid by other</w:t>
      </w:r>
      <w:r>
        <w:rPr>
          <w:rFonts w:ascii="Arial" w:hAnsi="Arial" w:cs="Arial"/>
        </w:rPr>
        <w:t xml:space="preserve"> </w:t>
      </w:r>
      <w:r w:rsidRPr="008B04D1">
        <w:rPr>
          <w:rFonts w:ascii="Arial" w:hAnsi="Arial" w:cs="Arial"/>
        </w:rPr>
        <w:t>parties for other products at other times is unnecessary” (Watson testimony, page 16, lines 4-7).</w:t>
      </w:r>
      <w:r>
        <w:rPr>
          <w:rFonts w:ascii="Arial" w:hAnsi="Arial" w:cs="Arial"/>
        </w:rPr>
        <w:t xml:space="preserve"> </w:t>
      </w:r>
      <w:r w:rsidRPr="008B04D1">
        <w:rPr>
          <w:rFonts w:ascii="Arial" w:hAnsi="Arial" w:cs="Arial"/>
        </w:rPr>
        <w:t xml:space="preserve">Testimony also notes: “Some </w:t>
      </w:r>
      <w:proofErr w:type="spellStart"/>
      <w:r w:rsidRPr="008B04D1">
        <w:rPr>
          <w:rFonts w:ascii="Arial" w:hAnsi="Arial" w:cs="Arial"/>
        </w:rPr>
        <w:t>intervenors</w:t>
      </w:r>
      <w:proofErr w:type="spellEnd"/>
      <w:r w:rsidRPr="008B04D1">
        <w:rPr>
          <w:rFonts w:ascii="Arial" w:hAnsi="Arial" w:cs="Arial"/>
        </w:rPr>
        <w:t xml:space="preserve"> have argued for such a requirement since ‘SoCalGas</w:t>
      </w:r>
      <w:r>
        <w:rPr>
          <w:rFonts w:ascii="Arial" w:hAnsi="Arial" w:cs="Arial"/>
        </w:rPr>
        <w:t xml:space="preserve"> </w:t>
      </w:r>
      <w:r w:rsidRPr="008B04D1">
        <w:rPr>
          <w:rFonts w:ascii="Arial" w:hAnsi="Arial" w:cs="Arial"/>
        </w:rPr>
        <w:t>was the only storage provider in Southern California.’” (Watson testimony, pages 15-16, lines 15</w:t>
      </w:r>
      <w:r>
        <w:rPr>
          <w:rFonts w:ascii="Arial" w:hAnsi="Arial" w:cs="Arial"/>
        </w:rPr>
        <w:t xml:space="preserve"> </w:t>
      </w:r>
      <w:r w:rsidRPr="008B04D1">
        <w:rPr>
          <w:rFonts w:ascii="Arial" w:hAnsi="Arial" w:cs="Arial"/>
        </w:rPr>
        <w:t>and 1-2, respectively).</w:t>
      </w:r>
    </w:p>
    <w:p w:rsidR="008B04D1" w:rsidRPr="008B04D1" w:rsidRDefault="008B04D1" w:rsidP="008B04D1">
      <w:pPr>
        <w:autoSpaceDE w:val="0"/>
        <w:autoSpaceDN w:val="0"/>
        <w:adjustRightInd w:val="0"/>
        <w:rPr>
          <w:rFonts w:ascii="Arial" w:hAnsi="Arial" w:cs="Arial"/>
        </w:rPr>
      </w:pPr>
    </w:p>
    <w:p w:rsidR="008B04D1" w:rsidRPr="008B04D1" w:rsidRDefault="008B04D1" w:rsidP="008B04D1">
      <w:pPr>
        <w:autoSpaceDE w:val="0"/>
        <w:autoSpaceDN w:val="0"/>
        <w:adjustRightInd w:val="0"/>
        <w:rPr>
          <w:rFonts w:ascii="Arial" w:hAnsi="Arial" w:cs="Arial"/>
        </w:rPr>
      </w:pPr>
      <w:r w:rsidRPr="008B04D1">
        <w:rPr>
          <w:rFonts w:ascii="Arial" w:hAnsi="Arial" w:cs="Arial"/>
        </w:rPr>
        <w:t>a. Are SCG and SDG&amp;E aware of any other natural gas storage providers in southern</w:t>
      </w:r>
    </w:p>
    <w:p w:rsidR="008B04D1" w:rsidRPr="008B04D1" w:rsidRDefault="008B04D1" w:rsidP="008B04D1">
      <w:pPr>
        <w:autoSpaceDE w:val="0"/>
        <w:autoSpaceDN w:val="0"/>
        <w:adjustRightInd w:val="0"/>
        <w:rPr>
          <w:rFonts w:ascii="Arial" w:hAnsi="Arial" w:cs="Arial"/>
        </w:rPr>
      </w:pPr>
      <w:proofErr w:type="gramStart"/>
      <w:r w:rsidRPr="008B04D1">
        <w:rPr>
          <w:rFonts w:ascii="Arial" w:hAnsi="Arial" w:cs="Arial"/>
        </w:rPr>
        <w:t>California for storage products similar to those offered by SCG and SDG&amp;E?</w:t>
      </w:r>
      <w:proofErr w:type="gramEnd"/>
      <w:r w:rsidRPr="008B04D1">
        <w:rPr>
          <w:rFonts w:ascii="Arial" w:hAnsi="Arial" w:cs="Arial"/>
        </w:rPr>
        <w:t xml:space="preserve"> If so,</w:t>
      </w:r>
    </w:p>
    <w:p w:rsidR="008B04D1" w:rsidRDefault="008B04D1" w:rsidP="008B04D1">
      <w:pPr>
        <w:autoSpaceDE w:val="0"/>
        <w:autoSpaceDN w:val="0"/>
        <w:adjustRightInd w:val="0"/>
        <w:rPr>
          <w:rFonts w:ascii="Arial" w:hAnsi="Arial" w:cs="Arial"/>
        </w:rPr>
      </w:pPr>
      <w:proofErr w:type="gramStart"/>
      <w:r w:rsidRPr="008B04D1">
        <w:rPr>
          <w:rFonts w:ascii="Arial" w:hAnsi="Arial" w:cs="Arial"/>
        </w:rPr>
        <w:t>please</w:t>
      </w:r>
      <w:proofErr w:type="gramEnd"/>
      <w:r w:rsidRPr="008B04D1">
        <w:rPr>
          <w:rFonts w:ascii="Arial" w:hAnsi="Arial" w:cs="Arial"/>
        </w:rPr>
        <w:t xml:space="preserve"> provide a list of those storage providers.</w:t>
      </w:r>
    </w:p>
    <w:p w:rsidR="008B04D1" w:rsidRPr="008B04D1" w:rsidRDefault="008B04D1" w:rsidP="008B04D1">
      <w:pPr>
        <w:autoSpaceDE w:val="0"/>
        <w:autoSpaceDN w:val="0"/>
        <w:adjustRightInd w:val="0"/>
        <w:rPr>
          <w:rFonts w:ascii="Arial" w:hAnsi="Arial" w:cs="Arial"/>
        </w:rPr>
      </w:pPr>
    </w:p>
    <w:p w:rsidR="008B04D1" w:rsidRPr="008B04D1" w:rsidRDefault="008B04D1" w:rsidP="008B04D1">
      <w:pPr>
        <w:autoSpaceDE w:val="0"/>
        <w:autoSpaceDN w:val="0"/>
        <w:adjustRightInd w:val="0"/>
        <w:rPr>
          <w:rFonts w:ascii="Arial" w:hAnsi="Arial" w:cs="Arial"/>
        </w:rPr>
      </w:pPr>
      <w:r w:rsidRPr="008B04D1">
        <w:rPr>
          <w:rFonts w:ascii="Arial" w:hAnsi="Arial" w:cs="Arial"/>
        </w:rPr>
        <w:t xml:space="preserve">b. Are SCG and SDG&amp;E aware of any other publically-available pricing information </w:t>
      </w:r>
      <w:proofErr w:type="gramStart"/>
      <w:r w:rsidRPr="008B04D1">
        <w:rPr>
          <w:rFonts w:ascii="Arial" w:hAnsi="Arial" w:cs="Arial"/>
        </w:rPr>
        <w:t>in</w:t>
      </w:r>
      <w:proofErr w:type="gramEnd"/>
    </w:p>
    <w:p w:rsidR="00582C14" w:rsidRPr="008B04D1" w:rsidRDefault="008B04D1" w:rsidP="008B04D1">
      <w:pPr>
        <w:autoSpaceDE w:val="0"/>
        <w:autoSpaceDN w:val="0"/>
        <w:adjustRightInd w:val="0"/>
        <w:rPr>
          <w:rFonts w:ascii="Arial" w:hAnsi="Arial" w:cs="Arial"/>
        </w:rPr>
      </w:pPr>
      <w:proofErr w:type="gramStart"/>
      <w:r w:rsidRPr="008B04D1">
        <w:rPr>
          <w:rFonts w:ascii="Arial" w:hAnsi="Arial" w:cs="Arial"/>
        </w:rPr>
        <w:t>southern</w:t>
      </w:r>
      <w:proofErr w:type="gramEnd"/>
      <w:r w:rsidRPr="008B04D1">
        <w:rPr>
          <w:rFonts w:ascii="Arial" w:hAnsi="Arial" w:cs="Arial"/>
        </w:rPr>
        <w:t xml:space="preserve"> California for their storage products or storage products similar to those offered</w:t>
      </w:r>
      <w:r>
        <w:rPr>
          <w:rFonts w:ascii="Arial" w:hAnsi="Arial" w:cs="Arial"/>
        </w:rPr>
        <w:t xml:space="preserve"> </w:t>
      </w:r>
      <w:r w:rsidRPr="008B04D1">
        <w:rPr>
          <w:rFonts w:ascii="Arial" w:hAnsi="Arial" w:cs="Arial"/>
        </w:rPr>
        <w:t>by SCG and SDG&amp;E? If so, please identify such information and provide reference to the</w:t>
      </w:r>
      <w:r>
        <w:rPr>
          <w:rFonts w:ascii="Arial" w:hAnsi="Arial" w:cs="Arial"/>
        </w:rPr>
        <w:t xml:space="preserve"> </w:t>
      </w:r>
      <w:r w:rsidRPr="008B04D1">
        <w:rPr>
          <w:rFonts w:ascii="Arial" w:hAnsi="Arial" w:cs="Arial"/>
        </w:rPr>
        <w:t>source so that ORA can access the information.</w:t>
      </w:r>
    </w:p>
    <w:p w:rsidR="00F67377" w:rsidRPr="0031141C" w:rsidRDefault="00F67377" w:rsidP="00F67377">
      <w:pPr>
        <w:rPr>
          <w:rFonts w:ascii="Arial" w:hAnsi="Arial" w:cs="Arial"/>
        </w:rPr>
      </w:pPr>
    </w:p>
    <w:p w:rsidR="008B04D1" w:rsidRDefault="008B04D1"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1</w:t>
      </w:r>
      <w:r w:rsidRPr="00F759E8">
        <w:rPr>
          <w:rFonts w:ascii="Arial" w:hAnsi="Arial" w:cs="Arial"/>
          <w:b/>
          <w:u w:val="single"/>
        </w:rPr>
        <w:t>:</w:t>
      </w:r>
    </w:p>
    <w:p w:rsidR="00F67377" w:rsidRDefault="00F67377" w:rsidP="005C6E7A">
      <w:pPr>
        <w:rPr>
          <w:rFonts w:ascii="Arial" w:hAnsi="Arial" w:cs="Arial"/>
          <w:sz w:val="28"/>
          <w:szCs w:val="28"/>
        </w:rPr>
      </w:pPr>
    </w:p>
    <w:p w:rsidR="00F67377" w:rsidRPr="00043B21" w:rsidRDefault="00423161" w:rsidP="00043B21">
      <w:pPr>
        <w:numPr>
          <w:ilvl w:val="0"/>
          <w:numId w:val="29"/>
        </w:numPr>
        <w:autoSpaceDE w:val="0"/>
        <w:autoSpaceDN w:val="0"/>
        <w:adjustRightInd w:val="0"/>
        <w:rPr>
          <w:rFonts w:ascii="Arial" w:hAnsi="Arial" w:cs="Arial"/>
        </w:rPr>
      </w:pPr>
      <w:r w:rsidRPr="00043B21">
        <w:rPr>
          <w:rFonts w:ascii="Arial" w:hAnsi="Arial" w:cs="Arial"/>
        </w:rPr>
        <w:t>No.  But st</w:t>
      </w:r>
      <w:r w:rsidR="000E667C" w:rsidRPr="00043B21">
        <w:rPr>
          <w:rFonts w:ascii="Arial" w:hAnsi="Arial" w:cs="Arial"/>
        </w:rPr>
        <w:t xml:space="preserve">orage competition is </w:t>
      </w:r>
      <w:r w:rsidR="009A60F6">
        <w:rPr>
          <w:rFonts w:ascii="Arial" w:hAnsi="Arial" w:cs="Arial"/>
        </w:rPr>
        <w:t xml:space="preserve">not </w:t>
      </w:r>
      <w:r w:rsidR="000E667C" w:rsidRPr="00043B21">
        <w:rPr>
          <w:rFonts w:ascii="Arial" w:hAnsi="Arial" w:cs="Arial"/>
        </w:rPr>
        <w:t xml:space="preserve">limited to </w:t>
      </w:r>
      <w:r w:rsidRPr="00043B21">
        <w:rPr>
          <w:rFonts w:ascii="Arial" w:hAnsi="Arial" w:cs="Arial"/>
        </w:rPr>
        <w:t>such a small geographic area</w:t>
      </w:r>
      <w:r w:rsidR="009A60F6">
        <w:rPr>
          <w:rFonts w:ascii="Arial" w:hAnsi="Arial" w:cs="Arial"/>
        </w:rPr>
        <w:t>,</w:t>
      </w:r>
      <w:r w:rsidRPr="00043B21">
        <w:rPr>
          <w:rFonts w:ascii="Arial" w:hAnsi="Arial" w:cs="Arial"/>
        </w:rPr>
        <w:t xml:space="preserve"> and there are substitute products.  The price arbitrage opportunities afforded by SoCalGas’ storage—buy low and sell high—can also be obtained with storage from anywhere in the Western U.S.  </w:t>
      </w:r>
      <w:r w:rsidR="008D2D4A">
        <w:rPr>
          <w:rFonts w:ascii="Arial" w:hAnsi="Arial" w:cs="Arial"/>
        </w:rPr>
        <w:t>For example, i</w:t>
      </w:r>
      <w:r w:rsidR="00043B21" w:rsidRPr="00043B21">
        <w:rPr>
          <w:rFonts w:ascii="Arial" w:hAnsi="Arial" w:cs="Arial"/>
        </w:rPr>
        <w:t>n Exhibit A of PG&amp;E’s Certificate of Public Convenience and Necessity (CPCN) Application (A.08-07-033) for the Gill Ranch Storage Project, PG&amp;E included a map showing the companies</w:t>
      </w:r>
      <w:r w:rsidR="00043B21">
        <w:rPr>
          <w:rFonts w:ascii="Arial" w:hAnsi="Arial" w:cs="Arial"/>
        </w:rPr>
        <w:t xml:space="preserve"> </w:t>
      </w:r>
      <w:r w:rsidR="00043B21" w:rsidRPr="00043B21">
        <w:rPr>
          <w:rFonts w:ascii="Arial" w:hAnsi="Arial" w:cs="Arial"/>
        </w:rPr>
        <w:t>with whom it is likely to compete. That exhibit included SoCalGas’ storage fields.</w:t>
      </w:r>
    </w:p>
    <w:p w:rsidR="00423161" w:rsidRPr="00423161" w:rsidRDefault="00423161" w:rsidP="00423161">
      <w:pPr>
        <w:ind w:left="360"/>
        <w:rPr>
          <w:rFonts w:ascii="Arial" w:hAnsi="Arial" w:cs="Arial"/>
        </w:rPr>
      </w:pPr>
    </w:p>
    <w:p w:rsidR="00423161" w:rsidRPr="00423161" w:rsidRDefault="00423161" w:rsidP="00423161">
      <w:pPr>
        <w:numPr>
          <w:ilvl w:val="0"/>
          <w:numId w:val="29"/>
        </w:numPr>
        <w:rPr>
          <w:rFonts w:ascii="Arial" w:hAnsi="Arial" w:cs="Arial"/>
        </w:rPr>
      </w:pPr>
      <w:r w:rsidRPr="00423161">
        <w:rPr>
          <w:rFonts w:ascii="Arial" w:hAnsi="Arial" w:cs="Arial"/>
        </w:rPr>
        <w:t>Other than what is provided by SoCalGas, the</w:t>
      </w:r>
      <w:r>
        <w:rPr>
          <w:rFonts w:ascii="Arial" w:hAnsi="Arial" w:cs="Arial"/>
        </w:rPr>
        <w:t xml:space="preserve">re is </w:t>
      </w:r>
      <w:r w:rsidR="000E667C">
        <w:rPr>
          <w:rFonts w:ascii="Arial" w:hAnsi="Arial" w:cs="Arial"/>
        </w:rPr>
        <w:t>no</w:t>
      </w:r>
      <w:r>
        <w:rPr>
          <w:rFonts w:ascii="Arial" w:hAnsi="Arial" w:cs="Arial"/>
        </w:rPr>
        <w:t xml:space="preserve"> </w:t>
      </w:r>
      <w:r w:rsidRPr="00423161">
        <w:rPr>
          <w:rFonts w:ascii="Arial" w:hAnsi="Arial" w:cs="Arial"/>
        </w:rPr>
        <w:t xml:space="preserve">pricing information </w:t>
      </w:r>
      <w:r>
        <w:rPr>
          <w:rFonts w:ascii="Arial" w:hAnsi="Arial" w:cs="Arial"/>
        </w:rPr>
        <w:t xml:space="preserve">posted on the internet </w:t>
      </w:r>
      <w:r w:rsidRPr="00423161">
        <w:rPr>
          <w:rFonts w:ascii="Arial" w:hAnsi="Arial" w:cs="Arial"/>
        </w:rPr>
        <w:t>for any storage in California.</w:t>
      </w:r>
      <w:r w:rsidR="000E667C">
        <w:rPr>
          <w:rFonts w:ascii="Arial" w:hAnsi="Arial" w:cs="Arial"/>
        </w:rPr>
        <w:t xml:space="preserve">  This is why SoCalGas believes its </w:t>
      </w:r>
      <w:r w:rsidR="00224BDA">
        <w:rPr>
          <w:rFonts w:ascii="Arial" w:hAnsi="Arial" w:cs="Arial"/>
        </w:rPr>
        <w:t xml:space="preserve">peculiar </w:t>
      </w:r>
      <w:r w:rsidR="000E667C">
        <w:rPr>
          <w:rFonts w:ascii="Arial" w:hAnsi="Arial" w:cs="Arial"/>
        </w:rPr>
        <w:t>posting requirement</w:t>
      </w:r>
      <w:r w:rsidR="00224BDA">
        <w:rPr>
          <w:rFonts w:ascii="Arial" w:hAnsi="Arial" w:cs="Arial"/>
        </w:rPr>
        <w:t>s</w:t>
      </w:r>
      <w:r w:rsidR="000E667C">
        <w:rPr>
          <w:rFonts w:ascii="Arial" w:hAnsi="Arial" w:cs="Arial"/>
        </w:rPr>
        <w:t xml:space="preserve"> should be removed.  </w:t>
      </w:r>
    </w:p>
    <w:p w:rsidR="00F67377" w:rsidRDefault="00F67377" w:rsidP="00423161">
      <w:pPr>
        <w:jc w:val="center"/>
        <w:rPr>
          <w:rFonts w:ascii="Arial" w:hAnsi="Arial" w:cs="Arial"/>
          <w:b/>
          <w:u w:val="single"/>
        </w:rPr>
      </w:pPr>
      <w:r w:rsidRPr="00423161">
        <w:rPr>
          <w:rFonts w:ascii="Arial" w:hAnsi="Arial" w:cs="Arial"/>
        </w:rPr>
        <w:br w:type="page"/>
      </w:r>
    </w:p>
    <w:p w:rsidR="00F67377" w:rsidRPr="0031141C" w:rsidRDefault="00F67377" w:rsidP="00F67377">
      <w:pPr>
        <w:rPr>
          <w:rFonts w:ascii="Arial" w:hAnsi="Arial" w:cs="Arial"/>
        </w:rPr>
      </w:pPr>
      <w:r w:rsidRPr="00F759E8">
        <w:rPr>
          <w:rFonts w:ascii="Arial" w:hAnsi="Arial" w:cs="Arial"/>
          <w:b/>
          <w:u w:val="single"/>
        </w:rPr>
        <w:lastRenderedPageBreak/>
        <w:t>QUESTION 1</w:t>
      </w:r>
      <w:r>
        <w:rPr>
          <w:rFonts w:ascii="Arial" w:hAnsi="Arial" w:cs="Arial"/>
          <w:b/>
          <w:u w:val="single"/>
        </w:rPr>
        <w:t>2</w:t>
      </w:r>
      <w:r w:rsidRPr="00F759E8">
        <w:rPr>
          <w:rFonts w:ascii="Arial" w:hAnsi="Arial" w:cs="Arial"/>
          <w:b/>
          <w:u w:val="single"/>
        </w:rPr>
        <w:t>:</w:t>
      </w:r>
    </w:p>
    <w:p w:rsidR="00F67377" w:rsidRPr="0031141C" w:rsidRDefault="00F67377" w:rsidP="00F67377">
      <w:pPr>
        <w:rPr>
          <w:rFonts w:ascii="Arial" w:hAnsi="Arial" w:cs="Arial"/>
        </w:rPr>
      </w:pPr>
    </w:p>
    <w:p w:rsidR="008B04D1" w:rsidRPr="008B04D1" w:rsidRDefault="008B04D1" w:rsidP="008B04D1">
      <w:pPr>
        <w:autoSpaceDE w:val="0"/>
        <w:autoSpaceDN w:val="0"/>
        <w:adjustRightInd w:val="0"/>
        <w:rPr>
          <w:rFonts w:ascii="Arial" w:hAnsi="Arial" w:cs="Arial"/>
          <w:i/>
          <w:iCs/>
        </w:rPr>
      </w:pPr>
      <w:r w:rsidRPr="008B04D1">
        <w:rPr>
          <w:rFonts w:ascii="Arial" w:hAnsi="Arial" w:cs="Arial"/>
        </w:rPr>
        <w:t>ORA data request ORA-DR-02 reads as follows:</w:t>
      </w:r>
      <w:r>
        <w:rPr>
          <w:rFonts w:ascii="Arial" w:hAnsi="Arial" w:cs="Arial"/>
        </w:rPr>
        <w:t xml:space="preserve"> </w:t>
      </w:r>
      <w:r w:rsidRPr="008B04D1">
        <w:rPr>
          <w:rFonts w:ascii="Arial" w:hAnsi="Arial" w:cs="Arial"/>
          <w:i/>
          <w:iCs/>
        </w:rPr>
        <w:t>SCG’s and SDG&amp;E’s testimony states (Watson testimony, pg. 16, lines 2-4) “Without</w:t>
      </w:r>
      <w:r>
        <w:rPr>
          <w:rFonts w:ascii="Arial" w:hAnsi="Arial" w:cs="Arial"/>
          <w:i/>
          <w:iCs/>
        </w:rPr>
        <w:t xml:space="preserve"> </w:t>
      </w:r>
      <w:r w:rsidRPr="008B04D1">
        <w:rPr>
          <w:rFonts w:ascii="Arial" w:hAnsi="Arial" w:cs="Arial"/>
          <w:i/>
          <w:iCs/>
        </w:rPr>
        <w:t>rehashing all the past arguments made on this issue, it should now be obvious that</w:t>
      </w:r>
      <w:r>
        <w:rPr>
          <w:rFonts w:ascii="Arial" w:hAnsi="Arial" w:cs="Arial"/>
          <w:i/>
          <w:iCs/>
        </w:rPr>
        <w:t xml:space="preserve"> </w:t>
      </w:r>
      <w:r w:rsidRPr="008B04D1">
        <w:rPr>
          <w:rFonts w:ascii="Arial" w:hAnsi="Arial" w:cs="Arial"/>
          <w:i/>
          <w:iCs/>
        </w:rPr>
        <w:t>SoCalGas does not have the ability to manipulate prices in the unbundled storage market. If</w:t>
      </w:r>
      <w:r>
        <w:rPr>
          <w:rFonts w:ascii="Arial" w:hAnsi="Arial" w:cs="Arial"/>
          <w:i/>
          <w:iCs/>
        </w:rPr>
        <w:t xml:space="preserve"> </w:t>
      </w:r>
      <w:r w:rsidRPr="008B04D1">
        <w:rPr>
          <w:rFonts w:ascii="Arial" w:hAnsi="Arial" w:cs="Arial"/>
          <w:i/>
          <w:iCs/>
        </w:rPr>
        <w:t>it did, it would be able to generate much greater revenues that it has.”</w:t>
      </w:r>
      <w:r>
        <w:rPr>
          <w:rFonts w:ascii="Arial" w:hAnsi="Arial" w:cs="Arial"/>
          <w:i/>
          <w:iCs/>
        </w:rPr>
        <w:t xml:space="preserve"> </w:t>
      </w:r>
      <w:r w:rsidRPr="008B04D1">
        <w:rPr>
          <w:rFonts w:ascii="Arial" w:hAnsi="Arial" w:cs="Arial"/>
          <w:i/>
          <w:iCs/>
        </w:rPr>
        <w:t>Please provide the relevant quantitative information, assumptions, data sources, and</w:t>
      </w:r>
      <w:r>
        <w:rPr>
          <w:rFonts w:ascii="Arial" w:hAnsi="Arial" w:cs="Arial"/>
          <w:i/>
          <w:iCs/>
        </w:rPr>
        <w:t xml:space="preserve"> </w:t>
      </w:r>
      <w:proofErr w:type="spellStart"/>
      <w:r w:rsidRPr="008B04D1">
        <w:rPr>
          <w:rFonts w:ascii="Arial" w:hAnsi="Arial" w:cs="Arial"/>
          <w:i/>
          <w:iCs/>
        </w:rPr>
        <w:t>workpapers</w:t>
      </w:r>
      <w:proofErr w:type="spellEnd"/>
      <w:r w:rsidRPr="008B04D1">
        <w:rPr>
          <w:rFonts w:ascii="Arial" w:hAnsi="Arial" w:cs="Arial"/>
          <w:i/>
          <w:iCs/>
        </w:rPr>
        <w:t xml:space="preserve"> used to draw this conclusion. If none exist, please describe in detail the process</w:t>
      </w:r>
      <w:r>
        <w:rPr>
          <w:rFonts w:ascii="Arial" w:hAnsi="Arial" w:cs="Arial"/>
          <w:i/>
          <w:iCs/>
        </w:rPr>
        <w:t xml:space="preserve"> </w:t>
      </w:r>
      <w:r w:rsidRPr="008B04D1">
        <w:rPr>
          <w:rFonts w:ascii="Arial" w:hAnsi="Arial" w:cs="Arial"/>
          <w:i/>
          <w:iCs/>
        </w:rPr>
        <w:t>through which this conclusion was drawn.</w:t>
      </w:r>
    </w:p>
    <w:p w:rsidR="008B04D1" w:rsidRDefault="008B04D1" w:rsidP="008B04D1">
      <w:pPr>
        <w:autoSpaceDE w:val="0"/>
        <w:autoSpaceDN w:val="0"/>
        <w:adjustRightInd w:val="0"/>
        <w:rPr>
          <w:rFonts w:ascii="Arial" w:hAnsi="Arial" w:cs="Arial"/>
        </w:rPr>
      </w:pPr>
      <w:r w:rsidRPr="008B04D1">
        <w:rPr>
          <w:rFonts w:ascii="Arial" w:hAnsi="Arial" w:cs="Arial"/>
        </w:rPr>
        <w:t>Sempra’s entire response (provided in ORA-DR-02, response 15) to the above question was “The</w:t>
      </w:r>
      <w:r>
        <w:rPr>
          <w:rFonts w:ascii="Arial" w:hAnsi="Arial" w:cs="Arial"/>
        </w:rPr>
        <w:t xml:space="preserve"> </w:t>
      </w:r>
      <w:r w:rsidRPr="008B04D1">
        <w:rPr>
          <w:rFonts w:ascii="Arial" w:hAnsi="Arial" w:cs="Arial"/>
        </w:rPr>
        <w:t>statement is based on Figure 1 in Mr. Watson’s testimony.” Figure 1 in Mr. Watson’s testimony</w:t>
      </w:r>
      <w:r>
        <w:rPr>
          <w:rFonts w:ascii="Arial" w:hAnsi="Arial" w:cs="Arial"/>
        </w:rPr>
        <w:t xml:space="preserve"> </w:t>
      </w:r>
      <w:r w:rsidRPr="008B04D1">
        <w:rPr>
          <w:rFonts w:ascii="Arial" w:hAnsi="Arial" w:cs="Arial"/>
        </w:rPr>
        <w:t>(page 14, line 3) shows unbundled storage revenues plotted as a line graph for the years 2000</w:t>
      </w:r>
      <w:r>
        <w:rPr>
          <w:rFonts w:ascii="Arial" w:hAnsi="Arial" w:cs="Arial"/>
        </w:rPr>
        <w:t xml:space="preserve"> </w:t>
      </w:r>
      <w:r w:rsidRPr="008B04D1">
        <w:rPr>
          <w:rFonts w:ascii="Arial" w:hAnsi="Arial" w:cs="Arial"/>
        </w:rPr>
        <w:t>through 2014.</w:t>
      </w:r>
    </w:p>
    <w:p w:rsidR="008B04D1" w:rsidRPr="008B04D1" w:rsidRDefault="008B04D1" w:rsidP="008B04D1">
      <w:pPr>
        <w:autoSpaceDE w:val="0"/>
        <w:autoSpaceDN w:val="0"/>
        <w:adjustRightInd w:val="0"/>
        <w:rPr>
          <w:rFonts w:ascii="Arial" w:hAnsi="Arial" w:cs="Arial"/>
        </w:rPr>
      </w:pPr>
    </w:p>
    <w:p w:rsidR="008B04D1" w:rsidRDefault="008B04D1" w:rsidP="008B04D1">
      <w:pPr>
        <w:autoSpaceDE w:val="0"/>
        <w:autoSpaceDN w:val="0"/>
        <w:adjustRightInd w:val="0"/>
        <w:rPr>
          <w:rFonts w:ascii="Arial" w:hAnsi="Arial" w:cs="Arial"/>
        </w:rPr>
      </w:pPr>
      <w:r w:rsidRPr="008B04D1">
        <w:rPr>
          <w:rFonts w:ascii="Arial" w:hAnsi="Arial" w:cs="Arial"/>
        </w:rPr>
        <w:t>a. Please explain how Figure 1 alone demonstrates the conclusion quoted in Mr. Watson’s</w:t>
      </w:r>
      <w:r>
        <w:rPr>
          <w:rFonts w:ascii="Arial" w:hAnsi="Arial" w:cs="Arial"/>
        </w:rPr>
        <w:t xml:space="preserve"> </w:t>
      </w:r>
      <w:r w:rsidRPr="008B04D1">
        <w:rPr>
          <w:rFonts w:ascii="Arial" w:hAnsi="Arial" w:cs="Arial"/>
        </w:rPr>
        <w:t>testimony above.</w:t>
      </w:r>
    </w:p>
    <w:p w:rsidR="008B04D1" w:rsidRPr="008B04D1" w:rsidRDefault="008B04D1" w:rsidP="008B04D1">
      <w:pPr>
        <w:autoSpaceDE w:val="0"/>
        <w:autoSpaceDN w:val="0"/>
        <w:adjustRightInd w:val="0"/>
        <w:rPr>
          <w:rFonts w:ascii="Arial" w:hAnsi="Arial" w:cs="Arial"/>
        </w:rPr>
      </w:pPr>
    </w:p>
    <w:p w:rsidR="008B04D1" w:rsidRDefault="008B04D1" w:rsidP="008B04D1">
      <w:pPr>
        <w:autoSpaceDE w:val="0"/>
        <w:autoSpaceDN w:val="0"/>
        <w:adjustRightInd w:val="0"/>
        <w:rPr>
          <w:rFonts w:ascii="Arial" w:hAnsi="Arial" w:cs="Arial"/>
        </w:rPr>
      </w:pPr>
      <w:proofErr w:type="gramStart"/>
      <w:r w:rsidRPr="008B04D1">
        <w:rPr>
          <w:rFonts w:ascii="Arial" w:hAnsi="Arial" w:cs="Arial"/>
        </w:rPr>
        <w:t>b. Does</w:t>
      </w:r>
      <w:proofErr w:type="gramEnd"/>
      <w:r w:rsidRPr="008B04D1">
        <w:rPr>
          <w:rFonts w:ascii="Arial" w:hAnsi="Arial" w:cs="Arial"/>
        </w:rPr>
        <w:t xml:space="preserve"> SoCalGas/SDG&amp;E assert that Figure 1 represents a causal relationship between</w:t>
      </w:r>
      <w:r>
        <w:rPr>
          <w:rFonts w:ascii="Arial" w:hAnsi="Arial" w:cs="Arial"/>
        </w:rPr>
        <w:t xml:space="preserve"> </w:t>
      </w:r>
      <w:r w:rsidRPr="008B04D1">
        <w:rPr>
          <w:rFonts w:ascii="Arial" w:hAnsi="Arial" w:cs="Arial"/>
        </w:rPr>
        <w:t>posting requirements and price manipulation?</w:t>
      </w:r>
    </w:p>
    <w:p w:rsidR="008B04D1" w:rsidRPr="008B04D1" w:rsidRDefault="008B04D1" w:rsidP="008B04D1">
      <w:pPr>
        <w:autoSpaceDE w:val="0"/>
        <w:autoSpaceDN w:val="0"/>
        <w:adjustRightInd w:val="0"/>
        <w:rPr>
          <w:rFonts w:ascii="Arial" w:hAnsi="Arial" w:cs="Arial"/>
        </w:rPr>
      </w:pPr>
    </w:p>
    <w:p w:rsidR="00582C14" w:rsidRPr="008B04D1" w:rsidRDefault="008B04D1" w:rsidP="008B04D1">
      <w:pPr>
        <w:autoSpaceDE w:val="0"/>
        <w:autoSpaceDN w:val="0"/>
        <w:adjustRightInd w:val="0"/>
        <w:rPr>
          <w:rFonts w:ascii="Arial" w:hAnsi="Arial" w:cs="Arial"/>
        </w:rPr>
      </w:pPr>
      <w:r w:rsidRPr="008B04D1">
        <w:rPr>
          <w:rFonts w:ascii="Arial" w:hAnsi="Arial" w:cs="Arial"/>
        </w:rPr>
        <w:t>c. If the answer to part (b) is yes, please explain. Please provide all additional quantitative</w:t>
      </w:r>
      <w:r>
        <w:rPr>
          <w:rFonts w:ascii="Arial" w:hAnsi="Arial" w:cs="Arial"/>
        </w:rPr>
        <w:t xml:space="preserve"> </w:t>
      </w:r>
      <w:r w:rsidRPr="008B04D1">
        <w:rPr>
          <w:rFonts w:ascii="Arial" w:hAnsi="Arial" w:cs="Arial"/>
        </w:rPr>
        <w:t xml:space="preserve">information, assumptions, data sources, and </w:t>
      </w:r>
      <w:proofErr w:type="spellStart"/>
      <w:r w:rsidRPr="008B04D1">
        <w:rPr>
          <w:rFonts w:ascii="Arial" w:hAnsi="Arial" w:cs="Arial"/>
        </w:rPr>
        <w:t>workpapers</w:t>
      </w:r>
      <w:proofErr w:type="spellEnd"/>
      <w:r w:rsidRPr="008B04D1">
        <w:rPr>
          <w:rFonts w:ascii="Arial" w:hAnsi="Arial" w:cs="Arial"/>
        </w:rPr>
        <w:t xml:space="preserve"> that were used to draw this</w:t>
      </w:r>
      <w:r>
        <w:rPr>
          <w:rFonts w:ascii="Arial" w:hAnsi="Arial" w:cs="Arial"/>
        </w:rPr>
        <w:t xml:space="preserve"> </w:t>
      </w:r>
      <w:r w:rsidRPr="008B04D1">
        <w:rPr>
          <w:rFonts w:ascii="Arial" w:hAnsi="Arial" w:cs="Arial"/>
        </w:rPr>
        <w:t>conclusion.</w:t>
      </w:r>
    </w:p>
    <w:p w:rsidR="00F67377" w:rsidRPr="0031141C" w:rsidRDefault="00F67377" w:rsidP="00F67377">
      <w:pPr>
        <w:rPr>
          <w:rFonts w:ascii="Arial" w:hAnsi="Arial" w:cs="Arial"/>
        </w:rPr>
      </w:pPr>
    </w:p>
    <w:p w:rsidR="008B04D1" w:rsidRDefault="008B04D1" w:rsidP="00F67377">
      <w:pPr>
        <w:rPr>
          <w:rFonts w:ascii="Arial" w:hAnsi="Arial" w:cs="Arial"/>
          <w:b/>
          <w:u w:val="single"/>
        </w:rPr>
      </w:pPr>
    </w:p>
    <w:p w:rsidR="00F67377" w:rsidRPr="00F759E8" w:rsidRDefault="00F67377" w:rsidP="00F67377">
      <w:pPr>
        <w:rPr>
          <w:rFonts w:ascii="Arial" w:hAnsi="Arial" w:cs="Arial"/>
          <w:b/>
          <w:u w:val="single"/>
        </w:rPr>
      </w:pPr>
      <w:r w:rsidRPr="00F759E8">
        <w:rPr>
          <w:rFonts w:ascii="Arial" w:hAnsi="Arial" w:cs="Arial"/>
          <w:b/>
          <w:u w:val="single"/>
        </w:rPr>
        <w:t>RESPONSE 1</w:t>
      </w:r>
      <w:r>
        <w:rPr>
          <w:rFonts w:ascii="Arial" w:hAnsi="Arial" w:cs="Arial"/>
          <w:b/>
          <w:u w:val="single"/>
        </w:rPr>
        <w:t>2</w:t>
      </w:r>
      <w:r w:rsidRPr="00F759E8">
        <w:rPr>
          <w:rFonts w:ascii="Arial" w:hAnsi="Arial" w:cs="Arial"/>
          <w:b/>
          <w:u w:val="single"/>
        </w:rPr>
        <w:t>:</w:t>
      </w:r>
    </w:p>
    <w:p w:rsidR="00F67377" w:rsidRDefault="00F67377" w:rsidP="005C6E7A">
      <w:pPr>
        <w:rPr>
          <w:rFonts w:ascii="Arial" w:hAnsi="Arial" w:cs="Arial"/>
          <w:sz w:val="28"/>
          <w:szCs w:val="28"/>
        </w:rPr>
      </w:pPr>
    </w:p>
    <w:p w:rsidR="00E00708" w:rsidRPr="00006E9D" w:rsidRDefault="00423161" w:rsidP="000E667C">
      <w:pPr>
        <w:numPr>
          <w:ilvl w:val="0"/>
          <w:numId w:val="30"/>
        </w:numPr>
        <w:spacing w:after="120"/>
        <w:rPr>
          <w:rFonts w:ascii="Arial" w:hAnsi="Arial" w:cs="Arial"/>
        </w:rPr>
      </w:pPr>
      <w:r w:rsidRPr="00006E9D">
        <w:rPr>
          <w:rFonts w:ascii="Arial" w:hAnsi="Arial" w:cs="Arial"/>
        </w:rPr>
        <w:t xml:space="preserve"> </w:t>
      </w:r>
      <w:r w:rsidR="00006E9D" w:rsidRPr="00006E9D">
        <w:rPr>
          <w:rFonts w:ascii="Arial" w:hAnsi="Arial" w:cs="Arial"/>
        </w:rPr>
        <w:t>An entity with significant market power would be able to consistently generate revenues well above its costs, year after year.  Figure 1 shows th</w:t>
      </w:r>
      <w:r w:rsidR="000E667C">
        <w:rPr>
          <w:rFonts w:ascii="Arial" w:hAnsi="Arial" w:cs="Arial"/>
        </w:rPr>
        <w:t xml:space="preserve">at, </w:t>
      </w:r>
      <w:r w:rsidR="007F133D">
        <w:rPr>
          <w:rFonts w:ascii="Arial" w:hAnsi="Arial" w:cs="Arial"/>
        </w:rPr>
        <w:t>to the contrary</w:t>
      </w:r>
      <w:r w:rsidR="000E667C">
        <w:rPr>
          <w:rFonts w:ascii="Arial" w:hAnsi="Arial" w:cs="Arial"/>
        </w:rPr>
        <w:t>, SoCalGas revenues</w:t>
      </w:r>
      <w:r w:rsidR="00006E9D" w:rsidRPr="00006E9D">
        <w:rPr>
          <w:rFonts w:ascii="Arial" w:hAnsi="Arial" w:cs="Arial"/>
        </w:rPr>
        <w:t xml:space="preserve"> have at times been well above its costs (in good markets combined with strong incentive mechanism) and has recently be</w:t>
      </w:r>
      <w:r w:rsidR="000E667C">
        <w:rPr>
          <w:rFonts w:ascii="Arial" w:hAnsi="Arial" w:cs="Arial"/>
        </w:rPr>
        <w:t>en</w:t>
      </w:r>
      <w:r w:rsidR="00006E9D" w:rsidRPr="00006E9D">
        <w:rPr>
          <w:rFonts w:ascii="Arial" w:hAnsi="Arial" w:cs="Arial"/>
        </w:rPr>
        <w:t xml:space="preserve"> about equal to its costs (in weak markets combined with a weak shareholder incentive mechanism.)</w:t>
      </w:r>
    </w:p>
    <w:p w:rsidR="00006E9D" w:rsidRDefault="00006E9D" w:rsidP="00423161">
      <w:pPr>
        <w:numPr>
          <w:ilvl w:val="0"/>
          <w:numId w:val="30"/>
        </w:numPr>
        <w:rPr>
          <w:rFonts w:ascii="Arial" w:hAnsi="Arial" w:cs="Arial"/>
        </w:rPr>
      </w:pPr>
      <w:r w:rsidRPr="00AB7965">
        <w:rPr>
          <w:rFonts w:ascii="Arial" w:hAnsi="Arial" w:cs="Arial"/>
        </w:rPr>
        <w:t>No</w:t>
      </w:r>
      <w:r w:rsidR="007D7626" w:rsidRPr="00AB7965">
        <w:rPr>
          <w:rFonts w:ascii="Arial" w:hAnsi="Arial" w:cs="Arial"/>
        </w:rPr>
        <w:t xml:space="preserve">.  </w:t>
      </w:r>
      <w:r w:rsidR="00224BDA">
        <w:rPr>
          <w:rFonts w:ascii="Arial" w:hAnsi="Arial" w:cs="Arial"/>
        </w:rPr>
        <w:t>Figure 1 illustrates the point in a.</w:t>
      </w:r>
    </w:p>
    <w:p w:rsidR="00635F5A" w:rsidRPr="00006E9D" w:rsidRDefault="00635F5A" w:rsidP="00423161">
      <w:pPr>
        <w:numPr>
          <w:ilvl w:val="0"/>
          <w:numId w:val="30"/>
        </w:numPr>
        <w:rPr>
          <w:rFonts w:ascii="Arial" w:hAnsi="Arial" w:cs="Arial"/>
        </w:rPr>
      </w:pPr>
      <w:r>
        <w:rPr>
          <w:rFonts w:ascii="Arial" w:hAnsi="Arial" w:cs="Arial"/>
        </w:rPr>
        <w:t>N/A</w:t>
      </w:r>
      <w:bookmarkStart w:id="1" w:name="_GoBack"/>
      <w:bookmarkEnd w:id="1"/>
    </w:p>
    <w:sectPr w:rsidR="00635F5A" w:rsidRPr="00006E9D" w:rsidSect="00AF3427">
      <w:headerReference w:type="default" r:id="rId15"/>
      <w:footerReference w:type="default" r:id="rId16"/>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1A5" w:rsidRDefault="002021A5">
      <w:r>
        <w:separator/>
      </w:r>
    </w:p>
  </w:endnote>
  <w:endnote w:type="continuationSeparator" w:id="0">
    <w:p w:rsidR="002021A5" w:rsidRDefault="00202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F6A" w:rsidRPr="00E86619" w:rsidRDefault="00967F6A">
    <w:pPr>
      <w:pStyle w:val="Footer"/>
      <w:rPr>
        <w:rFonts w:ascii="Arial" w:hAnsi="Arial" w:cs="Arial"/>
      </w:rPr>
    </w:pPr>
    <w:r>
      <w:tab/>
    </w:r>
    <w:r w:rsidRPr="00E86619">
      <w:rPr>
        <w:rStyle w:val="PageNumber"/>
        <w:rFonts w:ascii="Arial" w:hAnsi="Arial" w:cs="Arial"/>
      </w:rPr>
      <w:fldChar w:fldCharType="begin"/>
    </w:r>
    <w:r w:rsidRPr="00E86619">
      <w:rPr>
        <w:rStyle w:val="PageNumber"/>
        <w:rFonts w:ascii="Arial" w:hAnsi="Arial" w:cs="Arial"/>
      </w:rPr>
      <w:instrText xml:space="preserve"> PAGE </w:instrText>
    </w:r>
    <w:r w:rsidRPr="00E86619">
      <w:rPr>
        <w:rStyle w:val="PageNumber"/>
        <w:rFonts w:ascii="Arial" w:hAnsi="Arial" w:cs="Arial"/>
      </w:rPr>
      <w:fldChar w:fldCharType="separate"/>
    </w:r>
    <w:r w:rsidR="00635F5A">
      <w:rPr>
        <w:rStyle w:val="PageNumber"/>
        <w:rFonts w:ascii="Arial" w:hAnsi="Arial" w:cs="Arial"/>
        <w:noProof/>
      </w:rPr>
      <w:t>16</w:t>
    </w:r>
    <w:r w:rsidRPr="00E86619">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1A5" w:rsidRDefault="002021A5">
      <w:r>
        <w:separator/>
      </w:r>
    </w:p>
  </w:footnote>
  <w:footnote w:type="continuationSeparator" w:id="0">
    <w:p w:rsidR="002021A5" w:rsidRDefault="002021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CAA" w:rsidRPr="00C62CAA" w:rsidRDefault="00C62CAA" w:rsidP="00F9456E">
    <w:pPr>
      <w:pStyle w:val="Header"/>
      <w:jc w:val="center"/>
      <w:rPr>
        <w:rFonts w:ascii="Arial" w:hAnsi="Arial" w:cs="Arial"/>
        <w:b/>
        <w:sz w:val="12"/>
        <w:szCs w:val="12"/>
      </w:rPr>
    </w:pPr>
  </w:p>
  <w:p w:rsidR="00EE2B21" w:rsidRDefault="00EE2B21" w:rsidP="00EE2B21">
    <w:pPr>
      <w:jc w:val="center"/>
      <w:rPr>
        <w:rFonts w:ascii="Arial" w:hAnsi="Arial" w:cs="Arial"/>
        <w:b/>
        <w:caps/>
      </w:rPr>
    </w:pPr>
    <w:r>
      <w:rPr>
        <w:rFonts w:ascii="Arial" w:hAnsi="Arial" w:cs="Arial"/>
        <w:b/>
        <w:caps/>
      </w:rPr>
      <w:t>triennial cost allocation proceeding phase 1 application</w:t>
    </w:r>
  </w:p>
  <w:p w:rsidR="00EE2B21" w:rsidRDefault="00EE2B21" w:rsidP="00EE2B21">
    <w:pPr>
      <w:jc w:val="center"/>
      <w:rPr>
        <w:rFonts w:ascii="Arial" w:hAnsi="Arial" w:cs="Arial"/>
        <w:b/>
        <w:caps/>
      </w:rPr>
    </w:pPr>
    <w:r>
      <w:rPr>
        <w:rFonts w:ascii="Arial" w:hAnsi="Arial" w:cs="Arial"/>
        <w:b/>
        <w:caps/>
      </w:rPr>
      <w:t xml:space="preserve">of southern california gas company &amp; </w:t>
    </w:r>
  </w:p>
  <w:p w:rsidR="00EE2B21" w:rsidRDefault="00EE2B21" w:rsidP="00EE2B21">
    <w:pPr>
      <w:jc w:val="center"/>
      <w:rPr>
        <w:rFonts w:ascii="Arial" w:hAnsi="Arial" w:cs="Arial"/>
        <w:b/>
        <w:caps/>
      </w:rPr>
    </w:pPr>
    <w:r>
      <w:rPr>
        <w:rFonts w:ascii="Arial" w:hAnsi="Arial" w:cs="Arial"/>
        <w:b/>
        <w:caps/>
      </w:rPr>
      <w:t>san diego gas &amp; electric company for authority to revise their</w:t>
    </w:r>
  </w:p>
  <w:p w:rsidR="00EE2B21" w:rsidRPr="00EE2B21" w:rsidRDefault="00EE2B21" w:rsidP="00EE2B21">
    <w:pPr>
      <w:jc w:val="center"/>
      <w:rPr>
        <w:rFonts w:ascii="Arial" w:hAnsi="Arial" w:cs="Arial"/>
        <w:b/>
        <w:caps/>
      </w:rPr>
    </w:pPr>
    <w:r>
      <w:rPr>
        <w:rFonts w:ascii="Arial" w:hAnsi="Arial" w:cs="Arial"/>
        <w:b/>
        <w:caps/>
      </w:rPr>
      <w:t>natural gas rates effective january 1, 2016</w:t>
    </w:r>
  </w:p>
  <w:p w:rsidR="00663B29" w:rsidRPr="00445088" w:rsidRDefault="00663B29" w:rsidP="00663B29">
    <w:pPr>
      <w:jc w:val="center"/>
      <w:rPr>
        <w:rFonts w:ascii="Arial" w:hAnsi="Arial" w:cs="Arial"/>
        <w:b/>
        <w:sz w:val="6"/>
        <w:szCs w:val="6"/>
      </w:rPr>
    </w:pPr>
  </w:p>
  <w:p w:rsidR="00663B29" w:rsidRPr="00663B29" w:rsidRDefault="00663B29" w:rsidP="00663B29">
    <w:pPr>
      <w:jc w:val="center"/>
      <w:rPr>
        <w:rFonts w:ascii="Arial" w:hAnsi="Arial" w:cs="Arial"/>
        <w:b/>
        <w:sz w:val="6"/>
        <w:szCs w:val="6"/>
      </w:rPr>
    </w:pPr>
  </w:p>
  <w:p w:rsidR="00663B29" w:rsidRPr="00663B29" w:rsidRDefault="00663B29" w:rsidP="00663B29">
    <w:pPr>
      <w:jc w:val="center"/>
      <w:rPr>
        <w:rFonts w:ascii="Arial" w:hAnsi="Arial" w:cs="Arial"/>
        <w:b/>
      </w:rPr>
    </w:pPr>
    <w:r w:rsidRPr="00663B29">
      <w:rPr>
        <w:rFonts w:ascii="Arial" w:hAnsi="Arial" w:cs="Arial"/>
        <w:b/>
      </w:rPr>
      <w:t>(A.14-12-</w:t>
    </w:r>
    <w:r w:rsidR="00E46E42">
      <w:rPr>
        <w:rFonts w:ascii="Arial" w:hAnsi="Arial" w:cs="Arial"/>
        <w:b/>
      </w:rPr>
      <w:t>017</w:t>
    </w:r>
    <w:r w:rsidRPr="00663B29">
      <w:rPr>
        <w:rFonts w:ascii="Arial" w:hAnsi="Arial" w:cs="Arial"/>
        <w:b/>
      </w:rPr>
      <w:t>)</w:t>
    </w:r>
  </w:p>
  <w:p w:rsidR="00967F6A" w:rsidRDefault="00967F6A" w:rsidP="00F9456E">
    <w:pPr>
      <w:pStyle w:val="Header"/>
      <w:jc w:val="center"/>
      <w:rPr>
        <w:rFonts w:ascii="Arial" w:hAnsi="Arial" w:cs="Arial"/>
        <w:b/>
        <w:sz w:val="8"/>
        <w:szCs w:val="8"/>
      </w:rPr>
    </w:pPr>
  </w:p>
  <w:p w:rsidR="00300C57" w:rsidRPr="00C178B5" w:rsidRDefault="00300C57" w:rsidP="00F9456E">
    <w:pPr>
      <w:pStyle w:val="Header"/>
      <w:jc w:val="center"/>
      <w:rPr>
        <w:rFonts w:ascii="Arial" w:hAnsi="Arial" w:cs="Arial"/>
        <w:b/>
        <w:sz w:val="8"/>
        <w:szCs w:val="8"/>
      </w:rPr>
    </w:pPr>
  </w:p>
  <w:p w:rsidR="00967F6A" w:rsidRPr="00507F24" w:rsidRDefault="00AF3427" w:rsidP="00F9456E">
    <w:pPr>
      <w:pStyle w:val="Header"/>
      <w:jc w:val="center"/>
      <w:rPr>
        <w:rFonts w:ascii="Arial" w:hAnsi="Arial" w:cs="Arial"/>
        <w:b/>
      </w:rPr>
    </w:pPr>
    <w:r>
      <w:rPr>
        <w:rFonts w:ascii="Arial" w:hAnsi="Arial" w:cs="Arial"/>
        <w:b/>
      </w:rPr>
      <w:t>(</w:t>
    </w:r>
    <w:r w:rsidR="00327C6E">
      <w:rPr>
        <w:rFonts w:ascii="Arial" w:hAnsi="Arial" w:cs="Arial"/>
        <w:b/>
      </w:rPr>
      <w:t>DATA REQUEST ORA-TCAP-SCG-04</w:t>
    </w:r>
    <w:r>
      <w:rPr>
        <w:rFonts w:ascii="Arial" w:hAnsi="Arial" w:cs="Arial"/>
        <w:b/>
      </w:rPr>
      <w:t>)</w:t>
    </w:r>
  </w:p>
  <w:p w:rsidR="00F9456E" w:rsidRDefault="00F9456E" w:rsidP="00F9456E">
    <w:pPr>
      <w:pStyle w:val="Header"/>
      <w:jc w:val="center"/>
      <w:rPr>
        <w:rFonts w:ascii="Arial" w:hAnsi="Arial" w:cs="Arial"/>
        <w:b/>
      </w:rPr>
    </w:pPr>
    <w:r>
      <w:rPr>
        <w:rFonts w:ascii="Arial" w:hAnsi="Arial" w:cs="Arial"/>
        <w:b/>
      </w:rPr>
      <w:t>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2169"/>
    <w:multiLevelType w:val="hybridMultilevel"/>
    <w:tmpl w:val="D2802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EF78AD"/>
    <w:multiLevelType w:val="hybridMultilevel"/>
    <w:tmpl w:val="81D64EA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F34FF"/>
    <w:multiLevelType w:val="hybridMultilevel"/>
    <w:tmpl w:val="03E813C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D46DB5"/>
    <w:multiLevelType w:val="hybridMultilevel"/>
    <w:tmpl w:val="2F763A66"/>
    <w:lvl w:ilvl="0" w:tplc="04090017">
      <w:start w:val="1"/>
      <w:numFmt w:val="lowerLetter"/>
      <w:lvlText w:val="%1)"/>
      <w:lvlJc w:val="left"/>
      <w:pPr>
        <w:tabs>
          <w:tab w:val="num" w:pos="720"/>
        </w:tabs>
        <w:ind w:left="720" w:hanging="360"/>
      </w:p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706EF0"/>
    <w:multiLevelType w:val="multilevel"/>
    <w:tmpl w:val="A3CA1E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BAC7A47"/>
    <w:multiLevelType w:val="hybridMultilevel"/>
    <w:tmpl w:val="BAE46084"/>
    <w:lvl w:ilvl="0" w:tplc="E63E8E90">
      <w:start w:val="2"/>
      <w:numFmt w:val="lowerLetter"/>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6">
    <w:nsid w:val="12BD05A4"/>
    <w:multiLevelType w:val="hybridMultilevel"/>
    <w:tmpl w:val="4E9C3400"/>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160743A5"/>
    <w:multiLevelType w:val="hybridMultilevel"/>
    <w:tmpl w:val="C2C249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C55164A"/>
    <w:multiLevelType w:val="multilevel"/>
    <w:tmpl w:val="BF98AD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4B61A92"/>
    <w:multiLevelType w:val="hybridMultilevel"/>
    <w:tmpl w:val="DBF6F4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317044"/>
    <w:multiLevelType w:val="hybridMultilevel"/>
    <w:tmpl w:val="A40AA7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356FF6"/>
    <w:multiLevelType w:val="multilevel"/>
    <w:tmpl w:val="1B8E973A"/>
    <w:lvl w:ilvl="0">
      <w:start w:val="1"/>
      <w:numFmt w:val="decimal"/>
      <w:lvlText w:val="%1"/>
      <w:lvlJc w:val="left"/>
      <w:pPr>
        <w:tabs>
          <w:tab w:val="num" w:pos="465"/>
        </w:tabs>
        <w:ind w:left="465" w:hanging="465"/>
      </w:pPr>
      <w:rPr>
        <w:rFonts w:hint="default"/>
        <w:b w:val="0"/>
        <w:i w:val="0"/>
        <w:sz w:val="24"/>
        <w:szCs w:val="24"/>
      </w:rPr>
    </w:lvl>
    <w:lvl w:ilvl="1">
      <w:start w:val="1"/>
      <w:numFmt w:val="lowerLetter"/>
      <w:lvlText w:val="%2."/>
      <w:lvlJc w:val="left"/>
      <w:pPr>
        <w:tabs>
          <w:tab w:val="num" w:pos="1905"/>
        </w:tabs>
        <w:ind w:left="1905" w:hanging="46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12">
    <w:nsid w:val="332F6109"/>
    <w:multiLevelType w:val="hybridMultilevel"/>
    <w:tmpl w:val="43789FE2"/>
    <w:lvl w:ilvl="0" w:tplc="F63E41E4">
      <w:start w:val="1"/>
      <w:numFmt w:val="lowerLetter"/>
      <w:lvlText w:val="%1."/>
      <w:lvlJc w:val="left"/>
      <w:pPr>
        <w:tabs>
          <w:tab w:val="num" w:pos="2790"/>
        </w:tabs>
        <w:ind w:left="2790" w:hanging="360"/>
      </w:pPr>
      <w:rPr>
        <w:rFonts w:hint="default"/>
      </w:rPr>
    </w:lvl>
    <w:lvl w:ilvl="1" w:tplc="04090019">
      <w:start w:val="1"/>
      <w:numFmt w:val="lowerLetter"/>
      <w:lvlText w:val="%2."/>
      <w:lvlJc w:val="left"/>
      <w:pPr>
        <w:tabs>
          <w:tab w:val="num" w:pos="3510"/>
        </w:tabs>
        <w:ind w:left="351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4950"/>
        </w:tabs>
        <w:ind w:left="4950" w:hanging="360"/>
      </w:pPr>
    </w:lvl>
    <w:lvl w:ilvl="4" w:tplc="04090019" w:tentative="1">
      <w:start w:val="1"/>
      <w:numFmt w:val="lowerLetter"/>
      <w:lvlText w:val="%5."/>
      <w:lvlJc w:val="left"/>
      <w:pPr>
        <w:tabs>
          <w:tab w:val="num" w:pos="5670"/>
        </w:tabs>
        <w:ind w:left="5670" w:hanging="360"/>
      </w:pPr>
    </w:lvl>
    <w:lvl w:ilvl="5" w:tplc="0409001B" w:tentative="1">
      <w:start w:val="1"/>
      <w:numFmt w:val="lowerRoman"/>
      <w:lvlText w:val="%6."/>
      <w:lvlJc w:val="right"/>
      <w:pPr>
        <w:tabs>
          <w:tab w:val="num" w:pos="6390"/>
        </w:tabs>
        <w:ind w:left="6390" w:hanging="180"/>
      </w:pPr>
    </w:lvl>
    <w:lvl w:ilvl="6" w:tplc="0409000F" w:tentative="1">
      <w:start w:val="1"/>
      <w:numFmt w:val="decimal"/>
      <w:lvlText w:val="%7."/>
      <w:lvlJc w:val="left"/>
      <w:pPr>
        <w:tabs>
          <w:tab w:val="num" w:pos="7110"/>
        </w:tabs>
        <w:ind w:left="7110" w:hanging="360"/>
      </w:pPr>
    </w:lvl>
    <w:lvl w:ilvl="7" w:tplc="04090019" w:tentative="1">
      <w:start w:val="1"/>
      <w:numFmt w:val="lowerLetter"/>
      <w:lvlText w:val="%8."/>
      <w:lvlJc w:val="left"/>
      <w:pPr>
        <w:tabs>
          <w:tab w:val="num" w:pos="7830"/>
        </w:tabs>
        <w:ind w:left="7830" w:hanging="360"/>
      </w:pPr>
    </w:lvl>
    <w:lvl w:ilvl="8" w:tplc="0409001B" w:tentative="1">
      <w:start w:val="1"/>
      <w:numFmt w:val="lowerRoman"/>
      <w:lvlText w:val="%9."/>
      <w:lvlJc w:val="right"/>
      <w:pPr>
        <w:tabs>
          <w:tab w:val="num" w:pos="8550"/>
        </w:tabs>
        <w:ind w:left="8550" w:hanging="180"/>
      </w:pPr>
    </w:lvl>
  </w:abstractNum>
  <w:abstractNum w:abstractNumId="13">
    <w:nsid w:val="34640CB7"/>
    <w:multiLevelType w:val="hybridMultilevel"/>
    <w:tmpl w:val="06B0DE10"/>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88344CD"/>
    <w:multiLevelType w:val="hybridMultilevel"/>
    <w:tmpl w:val="7C1013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715E35"/>
    <w:multiLevelType w:val="hybridMultilevel"/>
    <w:tmpl w:val="EF8086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DC673E"/>
    <w:multiLevelType w:val="hybridMultilevel"/>
    <w:tmpl w:val="DBF036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A7024A"/>
    <w:multiLevelType w:val="hybridMultilevel"/>
    <w:tmpl w:val="71322ADC"/>
    <w:lvl w:ilvl="0" w:tplc="FDB82F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79A2E24"/>
    <w:multiLevelType w:val="hybridMultilevel"/>
    <w:tmpl w:val="D5384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22137A"/>
    <w:multiLevelType w:val="hybridMultilevel"/>
    <w:tmpl w:val="197064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FA1788"/>
    <w:multiLevelType w:val="multilevel"/>
    <w:tmpl w:val="D2802B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56F546A2"/>
    <w:multiLevelType w:val="hybridMultilevel"/>
    <w:tmpl w:val="FC889A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5C0CFB"/>
    <w:multiLevelType w:val="hybridMultilevel"/>
    <w:tmpl w:val="51767AB0"/>
    <w:lvl w:ilvl="0" w:tplc="04090017">
      <w:start w:val="1"/>
      <w:numFmt w:val="lowerLetter"/>
      <w:lvlText w:val="%1)"/>
      <w:lvlJc w:val="left"/>
      <w:pPr>
        <w:tabs>
          <w:tab w:val="num" w:pos="720"/>
        </w:tabs>
        <w:ind w:left="720" w:hanging="360"/>
      </w:pPr>
    </w:lvl>
    <w:lvl w:ilvl="1" w:tplc="04090017">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DD86306"/>
    <w:multiLevelType w:val="hybridMultilevel"/>
    <w:tmpl w:val="386A8C64"/>
    <w:lvl w:ilvl="0" w:tplc="04090019">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45C5B22"/>
    <w:multiLevelType w:val="hybridMultilevel"/>
    <w:tmpl w:val="126C28BA"/>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AA2FBA"/>
    <w:multiLevelType w:val="multilevel"/>
    <w:tmpl w:val="B1BAC4E8"/>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nsid w:val="6CD60A62"/>
    <w:multiLevelType w:val="hybridMultilevel"/>
    <w:tmpl w:val="60A89B6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1C90A3D"/>
    <w:multiLevelType w:val="hybridMultilevel"/>
    <w:tmpl w:val="B6C4FB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4945CF"/>
    <w:multiLevelType w:val="multilevel"/>
    <w:tmpl w:val="C2C2492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9">
    <w:nsid w:val="75EF1D4A"/>
    <w:multiLevelType w:val="hybridMultilevel"/>
    <w:tmpl w:val="B1BAC4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7E39144A"/>
    <w:multiLevelType w:val="hybridMultilevel"/>
    <w:tmpl w:val="4D6698FC"/>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9"/>
  </w:num>
  <w:num w:numId="3">
    <w:abstractNumId w:val="7"/>
  </w:num>
  <w:num w:numId="4">
    <w:abstractNumId w:val="26"/>
  </w:num>
  <w:num w:numId="5">
    <w:abstractNumId w:val="20"/>
  </w:num>
  <w:num w:numId="6">
    <w:abstractNumId w:val="25"/>
  </w:num>
  <w:num w:numId="7">
    <w:abstractNumId w:val="13"/>
  </w:num>
  <w:num w:numId="8">
    <w:abstractNumId w:val="28"/>
  </w:num>
  <w:num w:numId="9">
    <w:abstractNumId w:val="23"/>
  </w:num>
  <w:num w:numId="10">
    <w:abstractNumId w:val="8"/>
  </w:num>
  <w:num w:numId="11">
    <w:abstractNumId w:val="6"/>
  </w:num>
  <w:num w:numId="12">
    <w:abstractNumId w:val="4"/>
  </w:num>
  <w:num w:numId="13">
    <w:abstractNumId w:val="3"/>
  </w:num>
  <w:num w:numId="14">
    <w:abstractNumId w:val="21"/>
  </w:num>
  <w:num w:numId="15">
    <w:abstractNumId w:val="22"/>
  </w:num>
  <w:num w:numId="16">
    <w:abstractNumId w:val="17"/>
  </w:num>
  <w:num w:numId="17">
    <w:abstractNumId w:val="2"/>
  </w:num>
  <w:num w:numId="18">
    <w:abstractNumId w:val="11"/>
  </w:num>
  <w:num w:numId="19">
    <w:abstractNumId w:val="5"/>
  </w:num>
  <w:num w:numId="20">
    <w:abstractNumId w:val="12"/>
  </w:num>
  <w:num w:numId="21">
    <w:abstractNumId w:val="1"/>
  </w:num>
  <w:num w:numId="22">
    <w:abstractNumId w:val="15"/>
  </w:num>
  <w:num w:numId="23">
    <w:abstractNumId w:val="10"/>
  </w:num>
  <w:num w:numId="24">
    <w:abstractNumId w:val="14"/>
  </w:num>
  <w:num w:numId="25">
    <w:abstractNumId w:val="30"/>
  </w:num>
  <w:num w:numId="26">
    <w:abstractNumId w:val="24"/>
  </w:num>
  <w:num w:numId="27">
    <w:abstractNumId w:val="18"/>
  </w:num>
  <w:num w:numId="28">
    <w:abstractNumId w:val="9"/>
  </w:num>
  <w:num w:numId="29">
    <w:abstractNumId w:val="16"/>
  </w:num>
  <w:num w:numId="30">
    <w:abstractNumId w:val="19"/>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9D22A33-82CE-4419-BFCB-0BAD2BA7C36E}"/>
    <w:docVar w:name="dgnword-eventsink" w:val="7712992"/>
  </w:docVars>
  <w:rsids>
    <w:rsidRoot w:val="00687D80"/>
    <w:rsid w:val="00004249"/>
    <w:rsid w:val="00006E9D"/>
    <w:rsid w:val="00010DE8"/>
    <w:rsid w:val="00026804"/>
    <w:rsid w:val="0003562B"/>
    <w:rsid w:val="000427F1"/>
    <w:rsid w:val="00043B21"/>
    <w:rsid w:val="000445AE"/>
    <w:rsid w:val="000446FA"/>
    <w:rsid w:val="00050DEA"/>
    <w:rsid w:val="00054200"/>
    <w:rsid w:val="00055C3D"/>
    <w:rsid w:val="000570F2"/>
    <w:rsid w:val="00061BFA"/>
    <w:rsid w:val="00062FD1"/>
    <w:rsid w:val="0008146A"/>
    <w:rsid w:val="000973D6"/>
    <w:rsid w:val="000A2D07"/>
    <w:rsid w:val="000C0E9E"/>
    <w:rsid w:val="000C5406"/>
    <w:rsid w:val="000D3186"/>
    <w:rsid w:val="000D5EF6"/>
    <w:rsid w:val="000E2012"/>
    <w:rsid w:val="000E32F6"/>
    <w:rsid w:val="000E5737"/>
    <w:rsid w:val="000E667C"/>
    <w:rsid w:val="000F0C29"/>
    <w:rsid w:val="000F326F"/>
    <w:rsid w:val="00130F5D"/>
    <w:rsid w:val="00131F80"/>
    <w:rsid w:val="00171E47"/>
    <w:rsid w:val="00171F7F"/>
    <w:rsid w:val="001754B0"/>
    <w:rsid w:val="00182611"/>
    <w:rsid w:val="001A55D2"/>
    <w:rsid w:val="001B2C3E"/>
    <w:rsid w:val="001B4C37"/>
    <w:rsid w:val="001B62E7"/>
    <w:rsid w:val="001D4131"/>
    <w:rsid w:val="001E4A11"/>
    <w:rsid w:val="001F06BF"/>
    <w:rsid w:val="001F22D6"/>
    <w:rsid w:val="001F2F28"/>
    <w:rsid w:val="002021A5"/>
    <w:rsid w:val="002021F9"/>
    <w:rsid w:val="00214711"/>
    <w:rsid w:val="00215B6F"/>
    <w:rsid w:val="00217318"/>
    <w:rsid w:val="00224BDA"/>
    <w:rsid w:val="002447CF"/>
    <w:rsid w:val="002633A4"/>
    <w:rsid w:val="00266333"/>
    <w:rsid w:val="002749B8"/>
    <w:rsid w:val="00286828"/>
    <w:rsid w:val="002B7CDB"/>
    <w:rsid w:val="002C2AFC"/>
    <w:rsid w:val="002C432D"/>
    <w:rsid w:val="002C7F75"/>
    <w:rsid w:val="002D7E7D"/>
    <w:rsid w:val="002E095B"/>
    <w:rsid w:val="00300C57"/>
    <w:rsid w:val="00306365"/>
    <w:rsid w:val="00307588"/>
    <w:rsid w:val="0031070C"/>
    <w:rsid w:val="0031141C"/>
    <w:rsid w:val="00327C6E"/>
    <w:rsid w:val="00335AB8"/>
    <w:rsid w:val="003405A5"/>
    <w:rsid w:val="00344DC1"/>
    <w:rsid w:val="00347ECE"/>
    <w:rsid w:val="00367398"/>
    <w:rsid w:val="00380D6F"/>
    <w:rsid w:val="003A6A27"/>
    <w:rsid w:val="003C3292"/>
    <w:rsid w:val="003C3D7E"/>
    <w:rsid w:val="003C64AC"/>
    <w:rsid w:val="003E7642"/>
    <w:rsid w:val="00405FCB"/>
    <w:rsid w:val="00423161"/>
    <w:rsid w:val="00442D6C"/>
    <w:rsid w:val="00443AB5"/>
    <w:rsid w:val="00445088"/>
    <w:rsid w:val="00460B56"/>
    <w:rsid w:val="004628EB"/>
    <w:rsid w:val="0046506D"/>
    <w:rsid w:val="004710C7"/>
    <w:rsid w:val="004961DE"/>
    <w:rsid w:val="00496905"/>
    <w:rsid w:val="004A11B8"/>
    <w:rsid w:val="004A487D"/>
    <w:rsid w:val="004B00F4"/>
    <w:rsid w:val="004B1982"/>
    <w:rsid w:val="004C74C3"/>
    <w:rsid w:val="004D1DD7"/>
    <w:rsid w:val="004D402B"/>
    <w:rsid w:val="004D7C5E"/>
    <w:rsid w:val="004E361C"/>
    <w:rsid w:val="00507F24"/>
    <w:rsid w:val="005435F6"/>
    <w:rsid w:val="005476B2"/>
    <w:rsid w:val="005757EF"/>
    <w:rsid w:val="00581DF1"/>
    <w:rsid w:val="00582C14"/>
    <w:rsid w:val="00586657"/>
    <w:rsid w:val="005867DE"/>
    <w:rsid w:val="005945FF"/>
    <w:rsid w:val="00596EB7"/>
    <w:rsid w:val="005A54EE"/>
    <w:rsid w:val="005C3BB1"/>
    <w:rsid w:val="005C452D"/>
    <w:rsid w:val="005C5391"/>
    <w:rsid w:val="005C6C3D"/>
    <w:rsid w:val="005C6E7A"/>
    <w:rsid w:val="005F1AAE"/>
    <w:rsid w:val="005F4287"/>
    <w:rsid w:val="006132B2"/>
    <w:rsid w:val="006177F4"/>
    <w:rsid w:val="006232CC"/>
    <w:rsid w:val="006335C8"/>
    <w:rsid w:val="0063481C"/>
    <w:rsid w:val="00635F5A"/>
    <w:rsid w:val="00636BCF"/>
    <w:rsid w:val="0064053C"/>
    <w:rsid w:val="0065774B"/>
    <w:rsid w:val="00657A12"/>
    <w:rsid w:val="00657ADE"/>
    <w:rsid w:val="00663B29"/>
    <w:rsid w:val="006675ED"/>
    <w:rsid w:val="006760AE"/>
    <w:rsid w:val="0067709F"/>
    <w:rsid w:val="006801D3"/>
    <w:rsid w:val="00685B80"/>
    <w:rsid w:val="00686DC5"/>
    <w:rsid w:val="00687D80"/>
    <w:rsid w:val="00693014"/>
    <w:rsid w:val="0069402E"/>
    <w:rsid w:val="00697887"/>
    <w:rsid w:val="006B0927"/>
    <w:rsid w:val="006B49A6"/>
    <w:rsid w:val="006B5580"/>
    <w:rsid w:val="006C5135"/>
    <w:rsid w:val="006E6D13"/>
    <w:rsid w:val="007022E5"/>
    <w:rsid w:val="00715880"/>
    <w:rsid w:val="00717106"/>
    <w:rsid w:val="00724B83"/>
    <w:rsid w:val="0072501F"/>
    <w:rsid w:val="00726B5A"/>
    <w:rsid w:val="0074763E"/>
    <w:rsid w:val="00751C4C"/>
    <w:rsid w:val="007603F9"/>
    <w:rsid w:val="007604BA"/>
    <w:rsid w:val="00762A2D"/>
    <w:rsid w:val="007638A3"/>
    <w:rsid w:val="00764EE6"/>
    <w:rsid w:val="007758C7"/>
    <w:rsid w:val="00792FC7"/>
    <w:rsid w:val="00794553"/>
    <w:rsid w:val="00797B94"/>
    <w:rsid w:val="007B59E1"/>
    <w:rsid w:val="007C1474"/>
    <w:rsid w:val="007D7626"/>
    <w:rsid w:val="007E1BBA"/>
    <w:rsid w:val="007F133D"/>
    <w:rsid w:val="0080163C"/>
    <w:rsid w:val="0081001C"/>
    <w:rsid w:val="00814E4B"/>
    <w:rsid w:val="008221FC"/>
    <w:rsid w:val="00846D35"/>
    <w:rsid w:val="00854D38"/>
    <w:rsid w:val="00880454"/>
    <w:rsid w:val="008A0C1E"/>
    <w:rsid w:val="008A3929"/>
    <w:rsid w:val="008B0407"/>
    <w:rsid w:val="008B04D1"/>
    <w:rsid w:val="008B29B7"/>
    <w:rsid w:val="008B45FF"/>
    <w:rsid w:val="008B7E6C"/>
    <w:rsid w:val="008C558B"/>
    <w:rsid w:val="008D2D4A"/>
    <w:rsid w:val="008F1475"/>
    <w:rsid w:val="008F2A13"/>
    <w:rsid w:val="009014E2"/>
    <w:rsid w:val="00924832"/>
    <w:rsid w:val="00927C7F"/>
    <w:rsid w:val="009308B2"/>
    <w:rsid w:val="009353A5"/>
    <w:rsid w:val="0095058D"/>
    <w:rsid w:val="00967F6A"/>
    <w:rsid w:val="009742EE"/>
    <w:rsid w:val="009763D7"/>
    <w:rsid w:val="009906C4"/>
    <w:rsid w:val="00994689"/>
    <w:rsid w:val="009951BE"/>
    <w:rsid w:val="00996B85"/>
    <w:rsid w:val="009A60F6"/>
    <w:rsid w:val="009A6CE1"/>
    <w:rsid w:val="009C4BA8"/>
    <w:rsid w:val="009D52D8"/>
    <w:rsid w:val="009E04A7"/>
    <w:rsid w:val="009E2A12"/>
    <w:rsid w:val="009E6BC2"/>
    <w:rsid w:val="00A03CE1"/>
    <w:rsid w:val="00A17B4A"/>
    <w:rsid w:val="00A21C4E"/>
    <w:rsid w:val="00A277CE"/>
    <w:rsid w:val="00A540FF"/>
    <w:rsid w:val="00A558C1"/>
    <w:rsid w:val="00A65A2F"/>
    <w:rsid w:val="00A671D3"/>
    <w:rsid w:val="00A67A4C"/>
    <w:rsid w:val="00A76001"/>
    <w:rsid w:val="00A85689"/>
    <w:rsid w:val="00A8757F"/>
    <w:rsid w:val="00AA09FF"/>
    <w:rsid w:val="00AA7D9B"/>
    <w:rsid w:val="00AB7965"/>
    <w:rsid w:val="00AC3331"/>
    <w:rsid w:val="00AC79BC"/>
    <w:rsid w:val="00AE603A"/>
    <w:rsid w:val="00AF1AE8"/>
    <w:rsid w:val="00AF1FFF"/>
    <w:rsid w:val="00AF3427"/>
    <w:rsid w:val="00AF70D5"/>
    <w:rsid w:val="00B007FA"/>
    <w:rsid w:val="00B12B45"/>
    <w:rsid w:val="00B1595B"/>
    <w:rsid w:val="00B177D4"/>
    <w:rsid w:val="00B23DF8"/>
    <w:rsid w:val="00B244CF"/>
    <w:rsid w:val="00B30845"/>
    <w:rsid w:val="00B32CAC"/>
    <w:rsid w:val="00B37348"/>
    <w:rsid w:val="00B50348"/>
    <w:rsid w:val="00B772F8"/>
    <w:rsid w:val="00BB2092"/>
    <w:rsid w:val="00BC556D"/>
    <w:rsid w:val="00BD1AC1"/>
    <w:rsid w:val="00BD3336"/>
    <w:rsid w:val="00BE54FA"/>
    <w:rsid w:val="00C00BF1"/>
    <w:rsid w:val="00C141A5"/>
    <w:rsid w:val="00C21884"/>
    <w:rsid w:val="00C4302A"/>
    <w:rsid w:val="00C44CE1"/>
    <w:rsid w:val="00C478AC"/>
    <w:rsid w:val="00C50AFA"/>
    <w:rsid w:val="00C6106E"/>
    <w:rsid w:val="00C62CAA"/>
    <w:rsid w:val="00C844E0"/>
    <w:rsid w:val="00CB1F14"/>
    <w:rsid w:val="00CB2B75"/>
    <w:rsid w:val="00CB3FD9"/>
    <w:rsid w:val="00CD1B04"/>
    <w:rsid w:val="00CD2A4C"/>
    <w:rsid w:val="00CD3A2B"/>
    <w:rsid w:val="00D00E73"/>
    <w:rsid w:val="00D14DA0"/>
    <w:rsid w:val="00D27224"/>
    <w:rsid w:val="00D27711"/>
    <w:rsid w:val="00D31FD6"/>
    <w:rsid w:val="00D42A9F"/>
    <w:rsid w:val="00D5051D"/>
    <w:rsid w:val="00D51BAE"/>
    <w:rsid w:val="00D62B84"/>
    <w:rsid w:val="00D66C29"/>
    <w:rsid w:val="00D80DD1"/>
    <w:rsid w:val="00D84CD1"/>
    <w:rsid w:val="00D91C00"/>
    <w:rsid w:val="00DA2DE7"/>
    <w:rsid w:val="00DA45FE"/>
    <w:rsid w:val="00DA7A4F"/>
    <w:rsid w:val="00DB073E"/>
    <w:rsid w:val="00DB3DF1"/>
    <w:rsid w:val="00DD3403"/>
    <w:rsid w:val="00DE5698"/>
    <w:rsid w:val="00E00708"/>
    <w:rsid w:val="00E047E9"/>
    <w:rsid w:val="00E20F09"/>
    <w:rsid w:val="00E25BF2"/>
    <w:rsid w:val="00E25E1B"/>
    <w:rsid w:val="00E42C0C"/>
    <w:rsid w:val="00E44F2B"/>
    <w:rsid w:val="00E46E42"/>
    <w:rsid w:val="00E54E2E"/>
    <w:rsid w:val="00E75B1C"/>
    <w:rsid w:val="00E77426"/>
    <w:rsid w:val="00E802E5"/>
    <w:rsid w:val="00E82FDE"/>
    <w:rsid w:val="00E84D1A"/>
    <w:rsid w:val="00E86619"/>
    <w:rsid w:val="00EA0F7A"/>
    <w:rsid w:val="00EA5D05"/>
    <w:rsid w:val="00EC4C69"/>
    <w:rsid w:val="00EC4DFC"/>
    <w:rsid w:val="00EC666E"/>
    <w:rsid w:val="00ED0B44"/>
    <w:rsid w:val="00ED0D66"/>
    <w:rsid w:val="00ED7C4F"/>
    <w:rsid w:val="00EE2B21"/>
    <w:rsid w:val="00EF094D"/>
    <w:rsid w:val="00EF0C48"/>
    <w:rsid w:val="00F01063"/>
    <w:rsid w:val="00F033B8"/>
    <w:rsid w:val="00F2571E"/>
    <w:rsid w:val="00F3113C"/>
    <w:rsid w:val="00F438E8"/>
    <w:rsid w:val="00F47E8C"/>
    <w:rsid w:val="00F6216A"/>
    <w:rsid w:val="00F66FE5"/>
    <w:rsid w:val="00F67377"/>
    <w:rsid w:val="00F759E8"/>
    <w:rsid w:val="00F86603"/>
    <w:rsid w:val="00F918F2"/>
    <w:rsid w:val="00F9456E"/>
    <w:rsid w:val="00FB13DC"/>
    <w:rsid w:val="00FB1C4C"/>
    <w:rsid w:val="00FB2385"/>
    <w:rsid w:val="00FE6A1D"/>
    <w:rsid w:val="00FF139F"/>
    <w:rsid w:val="00FF4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687D80"/>
    <w:rPr>
      <w:rFonts w:ascii="Tahoma" w:hAnsi="Tahoma" w:cs="Tahoma"/>
      <w:sz w:val="16"/>
      <w:szCs w:val="16"/>
    </w:rPr>
  </w:style>
  <w:style w:type="character" w:styleId="PageNumber">
    <w:name w:val="page number"/>
    <w:basedOn w:val="DefaultParagraphFont"/>
    <w:rsid w:val="00794553"/>
  </w:style>
  <w:style w:type="character" w:customStyle="1" w:styleId="st">
    <w:name w:val="st"/>
    <w:rsid w:val="00663B29"/>
  </w:style>
  <w:style w:type="paragraph" w:styleId="ListParagraph">
    <w:name w:val="List Paragraph"/>
    <w:basedOn w:val="Normal"/>
    <w:uiPriority w:val="34"/>
    <w:qFormat/>
    <w:rsid w:val="00380D6F"/>
    <w:pPr>
      <w:ind w:left="720"/>
    </w:pPr>
  </w:style>
  <w:style w:type="paragraph" w:styleId="BodyText">
    <w:name w:val="Body Text"/>
    <w:basedOn w:val="Normal"/>
    <w:link w:val="BodyTextChar"/>
    <w:uiPriority w:val="1"/>
    <w:qFormat/>
    <w:rsid w:val="0069402E"/>
    <w:pPr>
      <w:autoSpaceDE w:val="0"/>
      <w:autoSpaceDN w:val="0"/>
      <w:adjustRightInd w:val="0"/>
      <w:spacing w:before="16"/>
      <w:ind w:left="580"/>
    </w:pPr>
    <w:rPr>
      <w:rFonts w:ascii="Calibri" w:hAnsi="Calibri" w:cs="Calibri"/>
      <w:sz w:val="22"/>
      <w:szCs w:val="22"/>
    </w:rPr>
  </w:style>
  <w:style w:type="character" w:customStyle="1" w:styleId="BodyTextChar">
    <w:name w:val="Body Text Char"/>
    <w:link w:val="BodyText"/>
    <w:uiPriority w:val="1"/>
    <w:rsid w:val="0069402E"/>
    <w:rPr>
      <w:rFonts w:ascii="Calibri" w:hAnsi="Calibri" w:cs="Calibri"/>
      <w:sz w:val="22"/>
      <w:szCs w:val="22"/>
    </w:rPr>
  </w:style>
  <w:style w:type="paragraph" w:customStyle="1" w:styleId="TableParagraph">
    <w:name w:val="Table Paragraph"/>
    <w:basedOn w:val="Normal"/>
    <w:uiPriority w:val="1"/>
    <w:qFormat/>
    <w:rsid w:val="0069402E"/>
    <w:pPr>
      <w:autoSpaceDE w:val="0"/>
      <w:autoSpaceDN w:val="0"/>
      <w:adjustRightInd w:val="0"/>
    </w:pPr>
  </w:style>
  <w:style w:type="table" w:styleId="TableGrid">
    <w:name w:val="Table Grid"/>
    <w:basedOn w:val="TableNormal"/>
    <w:uiPriority w:val="59"/>
    <w:rsid w:val="008F1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7E6C"/>
    <w:rPr>
      <w:sz w:val="16"/>
      <w:szCs w:val="16"/>
    </w:rPr>
  </w:style>
  <w:style w:type="paragraph" w:styleId="CommentText">
    <w:name w:val="annotation text"/>
    <w:basedOn w:val="Normal"/>
    <w:link w:val="CommentTextChar"/>
    <w:uiPriority w:val="99"/>
    <w:semiHidden/>
    <w:unhideWhenUsed/>
    <w:rsid w:val="008B7E6C"/>
    <w:rPr>
      <w:sz w:val="20"/>
      <w:szCs w:val="20"/>
    </w:rPr>
  </w:style>
  <w:style w:type="character" w:customStyle="1" w:styleId="CommentTextChar">
    <w:name w:val="Comment Text Char"/>
    <w:basedOn w:val="DefaultParagraphFont"/>
    <w:link w:val="CommentText"/>
    <w:uiPriority w:val="99"/>
    <w:semiHidden/>
    <w:rsid w:val="008B7E6C"/>
  </w:style>
  <w:style w:type="paragraph" w:styleId="CommentSubject">
    <w:name w:val="annotation subject"/>
    <w:basedOn w:val="CommentText"/>
    <w:next w:val="CommentText"/>
    <w:link w:val="CommentSubjectChar"/>
    <w:uiPriority w:val="99"/>
    <w:semiHidden/>
    <w:unhideWhenUsed/>
    <w:rsid w:val="008B7E6C"/>
    <w:rPr>
      <w:b/>
      <w:bCs/>
    </w:rPr>
  </w:style>
  <w:style w:type="character" w:customStyle="1" w:styleId="CommentSubjectChar">
    <w:name w:val="Comment Subject Char"/>
    <w:basedOn w:val="CommentTextChar"/>
    <w:link w:val="CommentSubject"/>
    <w:uiPriority w:val="99"/>
    <w:semiHidden/>
    <w:rsid w:val="008B7E6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687D80"/>
    <w:rPr>
      <w:rFonts w:ascii="Tahoma" w:hAnsi="Tahoma" w:cs="Tahoma"/>
      <w:sz w:val="16"/>
      <w:szCs w:val="16"/>
    </w:rPr>
  </w:style>
  <w:style w:type="character" w:styleId="PageNumber">
    <w:name w:val="page number"/>
    <w:basedOn w:val="DefaultParagraphFont"/>
    <w:rsid w:val="00794553"/>
  </w:style>
  <w:style w:type="character" w:customStyle="1" w:styleId="st">
    <w:name w:val="st"/>
    <w:rsid w:val="00663B29"/>
  </w:style>
  <w:style w:type="paragraph" w:styleId="ListParagraph">
    <w:name w:val="List Paragraph"/>
    <w:basedOn w:val="Normal"/>
    <w:uiPriority w:val="34"/>
    <w:qFormat/>
    <w:rsid w:val="00380D6F"/>
    <w:pPr>
      <w:ind w:left="720"/>
    </w:pPr>
  </w:style>
  <w:style w:type="paragraph" w:styleId="BodyText">
    <w:name w:val="Body Text"/>
    <w:basedOn w:val="Normal"/>
    <w:link w:val="BodyTextChar"/>
    <w:uiPriority w:val="1"/>
    <w:qFormat/>
    <w:rsid w:val="0069402E"/>
    <w:pPr>
      <w:autoSpaceDE w:val="0"/>
      <w:autoSpaceDN w:val="0"/>
      <w:adjustRightInd w:val="0"/>
      <w:spacing w:before="16"/>
      <w:ind w:left="580"/>
    </w:pPr>
    <w:rPr>
      <w:rFonts w:ascii="Calibri" w:hAnsi="Calibri" w:cs="Calibri"/>
      <w:sz w:val="22"/>
      <w:szCs w:val="22"/>
    </w:rPr>
  </w:style>
  <w:style w:type="character" w:customStyle="1" w:styleId="BodyTextChar">
    <w:name w:val="Body Text Char"/>
    <w:link w:val="BodyText"/>
    <w:uiPriority w:val="1"/>
    <w:rsid w:val="0069402E"/>
    <w:rPr>
      <w:rFonts w:ascii="Calibri" w:hAnsi="Calibri" w:cs="Calibri"/>
      <w:sz w:val="22"/>
      <w:szCs w:val="22"/>
    </w:rPr>
  </w:style>
  <w:style w:type="paragraph" w:customStyle="1" w:styleId="TableParagraph">
    <w:name w:val="Table Paragraph"/>
    <w:basedOn w:val="Normal"/>
    <w:uiPriority w:val="1"/>
    <w:qFormat/>
    <w:rsid w:val="0069402E"/>
    <w:pPr>
      <w:autoSpaceDE w:val="0"/>
      <w:autoSpaceDN w:val="0"/>
      <w:adjustRightInd w:val="0"/>
    </w:pPr>
  </w:style>
  <w:style w:type="table" w:styleId="TableGrid">
    <w:name w:val="Table Grid"/>
    <w:basedOn w:val="TableNormal"/>
    <w:uiPriority w:val="59"/>
    <w:rsid w:val="008F1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7E6C"/>
    <w:rPr>
      <w:sz w:val="16"/>
      <w:szCs w:val="16"/>
    </w:rPr>
  </w:style>
  <w:style w:type="paragraph" w:styleId="CommentText">
    <w:name w:val="annotation text"/>
    <w:basedOn w:val="Normal"/>
    <w:link w:val="CommentTextChar"/>
    <w:uiPriority w:val="99"/>
    <w:semiHidden/>
    <w:unhideWhenUsed/>
    <w:rsid w:val="008B7E6C"/>
    <w:rPr>
      <w:sz w:val="20"/>
      <w:szCs w:val="20"/>
    </w:rPr>
  </w:style>
  <w:style w:type="character" w:customStyle="1" w:styleId="CommentTextChar">
    <w:name w:val="Comment Text Char"/>
    <w:basedOn w:val="DefaultParagraphFont"/>
    <w:link w:val="CommentText"/>
    <w:uiPriority w:val="99"/>
    <w:semiHidden/>
    <w:rsid w:val="008B7E6C"/>
  </w:style>
  <w:style w:type="paragraph" w:styleId="CommentSubject">
    <w:name w:val="annotation subject"/>
    <w:basedOn w:val="CommentText"/>
    <w:next w:val="CommentText"/>
    <w:link w:val="CommentSubjectChar"/>
    <w:uiPriority w:val="99"/>
    <w:semiHidden/>
    <w:unhideWhenUsed/>
    <w:rsid w:val="008B7E6C"/>
    <w:rPr>
      <w:b/>
      <w:bCs/>
    </w:rPr>
  </w:style>
  <w:style w:type="character" w:customStyle="1" w:styleId="CommentSubjectChar">
    <w:name w:val="Comment Subject Char"/>
    <w:basedOn w:val="CommentTextChar"/>
    <w:link w:val="CommentSubject"/>
    <w:uiPriority w:val="99"/>
    <w:semiHidden/>
    <w:rsid w:val="008B7E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2174">
      <w:bodyDiv w:val="1"/>
      <w:marLeft w:val="0"/>
      <w:marRight w:val="0"/>
      <w:marTop w:val="0"/>
      <w:marBottom w:val="0"/>
      <w:divBdr>
        <w:top w:val="none" w:sz="0" w:space="0" w:color="auto"/>
        <w:left w:val="none" w:sz="0" w:space="0" w:color="auto"/>
        <w:bottom w:val="none" w:sz="0" w:space="0" w:color="auto"/>
        <w:right w:val="none" w:sz="0" w:space="0" w:color="auto"/>
      </w:divBdr>
    </w:div>
    <w:div w:id="56472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cid:image001.png@01D05D8E.EA39A55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Microsoft_Word_97_-_2003_Document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98966-7677-451C-AC9C-107DC46DD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3001</Words>
  <Characters>17107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QUESTION 1:</vt:lpstr>
    </vt:vector>
  </TitlesOfParts>
  <Company>Sempra Energy</Company>
  <LinksUpToDate>false</LinksUpToDate>
  <CharactersWithSpaces>20068</CharactersWithSpaces>
  <SharedDoc>false</SharedDoc>
  <HLinks>
    <vt:vector size="6" baseType="variant">
      <vt:variant>
        <vt:i4>6619224</vt:i4>
      </vt:variant>
      <vt:variant>
        <vt:i4>3484</vt:i4>
      </vt:variant>
      <vt:variant>
        <vt:i4>1025</vt:i4>
      </vt:variant>
      <vt:variant>
        <vt:i4>1</vt:i4>
      </vt:variant>
      <vt:variant>
        <vt:lpwstr>cid:image001.png@01D05D8E.EA39A550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1:</dc:title>
  <dc:creator>Sempra Energy</dc:creator>
  <cp:lastModifiedBy>Mock, Joseph</cp:lastModifiedBy>
  <cp:revision>3</cp:revision>
  <cp:lastPrinted>2005-06-11T16:39:00Z</cp:lastPrinted>
  <dcterms:created xsi:type="dcterms:W3CDTF">2015-03-26T19:13:00Z</dcterms:created>
  <dcterms:modified xsi:type="dcterms:W3CDTF">2015-03-27T00:41:00Z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rtualVersion">
    <vt:lpwstr/>
  </property>
  <property fmtid="{D5CDD505-2E9C-101B-9397-08002B2CF9AE}" pid="3" name="VirtualDocId">
    <vt:lpwstr/>
  </property>
  <property fmtid="{D5CDD505-2E9C-101B-9397-08002B2CF9AE}" pid="4" name="_NewReviewCycle">
    <vt:lpwstr/>
  </property>
</Properties>
</file>