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AB" w:rsidRPr="002B32AB" w:rsidRDefault="002B32AB" w:rsidP="002B32AB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 w:rsidRPr="002B32AB">
        <w:rPr>
          <w:rFonts w:ascii="Times New Roman" w:hAnsi="Times New Roman"/>
          <w:b/>
          <w:sz w:val="23"/>
        </w:rPr>
        <w:t xml:space="preserve">A.10-12-005/A.10-12-006 Sempra Utilities 2012 TY </w:t>
      </w:r>
      <w:proofErr w:type="spellStart"/>
      <w:r w:rsidRPr="002B32AB">
        <w:rPr>
          <w:rFonts w:ascii="Times New Roman" w:hAnsi="Times New Roman"/>
          <w:b/>
          <w:sz w:val="23"/>
        </w:rPr>
        <w:t>GRCs</w:t>
      </w:r>
      <w:proofErr w:type="spellEnd"/>
    </w:p>
    <w:p w:rsidR="002B32AB" w:rsidRPr="002B32AB" w:rsidRDefault="002B32AB" w:rsidP="002B32AB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 w:rsidRPr="002B32AB">
        <w:rPr>
          <w:rFonts w:ascii="Times New Roman" w:hAnsi="Times New Roman"/>
          <w:b/>
          <w:sz w:val="23"/>
        </w:rPr>
        <w:t xml:space="preserve">TURN Data Request to </w:t>
      </w:r>
      <w:proofErr w:type="spellStart"/>
      <w:r w:rsidRPr="002B32AB">
        <w:rPr>
          <w:rFonts w:ascii="Times New Roman" w:hAnsi="Times New Roman"/>
          <w:b/>
          <w:sz w:val="23"/>
        </w:rPr>
        <w:t>SoCalGas</w:t>
      </w:r>
      <w:proofErr w:type="spellEnd"/>
    </w:p>
    <w:p w:rsidR="002B32AB" w:rsidRPr="002B32AB" w:rsidRDefault="002B32AB" w:rsidP="002B32AB">
      <w:pPr>
        <w:spacing w:after="0" w:line="240" w:lineRule="auto"/>
        <w:rPr>
          <w:rFonts w:ascii="Times New Roman" w:hAnsi="Times New Roman"/>
          <w:b/>
          <w:sz w:val="23"/>
        </w:rPr>
      </w:pPr>
    </w:p>
    <w:p w:rsidR="002B32AB" w:rsidRPr="002B32AB" w:rsidRDefault="002B32AB" w:rsidP="002B32AB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 w:rsidRPr="002B32AB">
        <w:rPr>
          <w:rFonts w:ascii="Times New Roman" w:hAnsi="Times New Roman"/>
          <w:b/>
          <w:sz w:val="23"/>
        </w:rPr>
        <w:t xml:space="preserve">Data Request Number: </w:t>
      </w:r>
      <w:r w:rsidRPr="002B32AB">
        <w:rPr>
          <w:rFonts w:ascii="Times New Roman" w:hAnsi="Times New Roman"/>
          <w:sz w:val="23"/>
        </w:rPr>
        <w:t>TURN-</w:t>
      </w:r>
      <w:r w:rsidR="005F2A9E">
        <w:rPr>
          <w:rFonts w:ascii="Times New Roman" w:hAnsi="Times New Roman"/>
          <w:sz w:val="23"/>
        </w:rPr>
        <w:t xml:space="preserve">SCG-7 </w:t>
      </w:r>
      <w:r w:rsidRPr="002B32AB">
        <w:rPr>
          <w:rFonts w:ascii="Times New Roman" w:hAnsi="Times New Roman"/>
          <w:sz w:val="23"/>
        </w:rPr>
        <w:t>Bonus Depreciation)</w:t>
      </w:r>
    </w:p>
    <w:p w:rsidR="002B32AB" w:rsidRPr="002B32AB" w:rsidRDefault="002B32AB" w:rsidP="002B32AB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 w:rsidRPr="002B32AB">
        <w:rPr>
          <w:rFonts w:ascii="Times New Roman" w:hAnsi="Times New Roman"/>
          <w:b/>
          <w:sz w:val="23"/>
        </w:rPr>
        <w:t xml:space="preserve">Date Sent: </w:t>
      </w:r>
      <w:r w:rsidRPr="002B32AB">
        <w:rPr>
          <w:rFonts w:ascii="Times New Roman" w:hAnsi="Times New Roman"/>
          <w:sz w:val="23"/>
        </w:rPr>
        <w:t>March 1, 2011</w:t>
      </w:r>
    </w:p>
    <w:p w:rsidR="002B32AB" w:rsidRPr="002B32AB" w:rsidRDefault="002B32AB" w:rsidP="002B32AB">
      <w:pPr>
        <w:pStyle w:val="Header"/>
        <w:spacing w:after="0"/>
        <w:jc w:val="center"/>
        <w:rPr>
          <w:rFonts w:ascii="Times New Roman" w:hAnsi="Times New Roman"/>
          <w:sz w:val="23"/>
          <w:szCs w:val="24"/>
        </w:rPr>
      </w:pPr>
      <w:r w:rsidRPr="002B32AB">
        <w:rPr>
          <w:rFonts w:ascii="Times New Roman" w:hAnsi="Times New Roman"/>
          <w:b/>
          <w:sz w:val="23"/>
          <w:szCs w:val="24"/>
        </w:rPr>
        <w:t xml:space="preserve">Date Due: </w:t>
      </w:r>
      <w:r w:rsidRPr="002B32AB">
        <w:rPr>
          <w:rFonts w:ascii="Times New Roman" w:hAnsi="Times New Roman"/>
          <w:sz w:val="23"/>
          <w:szCs w:val="24"/>
        </w:rPr>
        <w:t>March 15, 2011</w:t>
      </w:r>
    </w:p>
    <w:p w:rsidR="002B32AB" w:rsidRPr="002B32AB" w:rsidRDefault="002B32AB" w:rsidP="002B32AB">
      <w:pPr>
        <w:spacing w:after="0" w:line="240" w:lineRule="auto"/>
        <w:rPr>
          <w:rFonts w:ascii="Times New Roman" w:hAnsi="Times New Roman"/>
          <w:sz w:val="23"/>
        </w:rPr>
      </w:pPr>
    </w:p>
    <w:p w:rsidR="002B32AB" w:rsidRPr="002B32AB" w:rsidRDefault="002B32AB" w:rsidP="002B32AB">
      <w:pPr>
        <w:spacing w:after="0" w:line="240" w:lineRule="auto"/>
        <w:rPr>
          <w:rFonts w:ascii="Times New Roman" w:hAnsi="Times New Roman"/>
          <w:sz w:val="23"/>
        </w:rPr>
      </w:pPr>
      <w:r w:rsidRPr="002B32AB">
        <w:rPr>
          <w:rFonts w:ascii="Times New Roman" w:hAnsi="Times New Roman"/>
          <w:sz w:val="23"/>
        </w:rPr>
        <w:t xml:space="preserve">Please provide the name of the witness/responder. </w:t>
      </w:r>
    </w:p>
    <w:p w:rsidR="002B32AB" w:rsidRPr="002B32AB" w:rsidRDefault="002B32AB" w:rsidP="002B32AB">
      <w:pPr>
        <w:spacing w:after="0" w:line="240" w:lineRule="auto"/>
        <w:rPr>
          <w:rFonts w:ascii="Times New Roman" w:hAnsi="Times New Roman"/>
          <w:sz w:val="23"/>
        </w:rPr>
      </w:pPr>
    </w:p>
    <w:p w:rsidR="002B32AB" w:rsidRPr="002B32AB" w:rsidRDefault="002B32AB" w:rsidP="002B32AB">
      <w:pPr>
        <w:spacing w:after="0" w:line="240" w:lineRule="auto"/>
        <w:rPr>
          <w:rFonts w:ascii="Times New Roman" w:hAnsi="Times New Roman"/>
          <w:sz w:val="23"/>
        </w:rPr>
      </w:pPr>
      <w:r w:rsidRPr="002B32AB">
        <w:rPr>
          <w:rFonts w:ascii="Times New Roman" w:hAnsi="Times New Roman"/>
          <w:sz w:val="23"/>
        </w:rPr>
        <w:t>For any questions requesting numerical recorded data, please provide all responses in working excel spreadsheet format if so available.</w:t>
      </w:r>
    </w:p>
    <w:p w:rsidR="002B32AB" w:rsidRPr="002B32AB" w:rsidRDefault="002B32AB" w:rsidP="002B32A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3"/>
        </w:rPr>
      </w:pPr>
    </w:p>
    <w:p w:rsidR="002B32AB" w:rsidRPr="002B32AB" w:rsidRDefault="002B32AB" w:rsidP="002B32A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3"/>
        </w:rPr>
      </w:pPr>
      <w:r w:rsidRPr="002B32AB">
        <w:rPr>
          <w:rFonts w:ascii="Times New Roman" w:hAnsi="Times New Roman"/>
          <w:sz w:val="23"/>
        </w:rPr>
        <w:t xml:space="preserve">For any question requesting documents, please interpret the term broadly to include any and all hard copy or electronic documents or records in </w:t>
      </w:r>
      <w:r w:rsidR="005F2A9E">
        <w:rPr>
          <w:rFonts w:ascii="Times New Roman" w:hAnsi="Times New Roman"/>
          <w:sz w:val="23"/>
        </w:rPr>
        <w:t>SoCalGas’</w:t>
      </w:r>
      <w:r w:rsidRPr="002B32AB">
        <w:rPr>
          <w:rFonts w:ascii="Times New Roman" w:hAnsi="Times New Roman"/>
          <w:sz w:val="23"/>
        </w:rPr>
        <w:t xml:space="preserve"> possession.</w:t>
      </w:r>
    </w:p>
    <w:p w:rsidR="002B32AB" w:rsidRPr="002B32AB" w:rsidRDefault="002B32AB" w:rsidP="002B32A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3"/>
        </w:rPr>
      </w:pPr>
    </w:p>
    <w:p w:rsidR="002B32AB" w:rsidRPr="002B32AB" w:rsidRDefault="002B32AB" w:rsidP="002B32AB">
      <w:pPr>
        <w:spacing w:after="0" w:line="360" w:lineRule="auto"/>
        <w:rPr>
          <w:rFonts w:ascii="Times New Roman" w:hAnsi="Times New Roman"/>
          <w:b/>
          <w:sz w:val="23"/>
        </w:rPr>
      </w:pPr>
    </w:p>
    <w:p w:rsidR="002B32AB" w:rsidRPr="002B32AB" w:rsidRDefault="00880DF2" w:rsidP="002B32AB">
      <w:pPr>
        <w:spacing w:after="0" w:line="240" w:lineRule="auto"/>
        <w:rPr>
          <w:rFonts w:ascii="Times New Roman" w:hAnsi="Times New Roman"/>
          <w:b/>
          <w:sz w:val="23"/>
        </w:rPr>
      </w:pPr>
      <w:r w:rsidRPr="002B32AB">
        <w:rPr>
          <w:rFonts w:ascii="Times New Roman" w:hAnsi="Times New Roman"/>
          <w:b/>
          <w:sz w:val="23"/>
        </w:rPr>
        <w:t>Income Taxes - Tax Relief, Unemployment Insurance Reauthorizati</w:t>
      </w:r>
      <w:r w:rsidR="002B32AB" w:rsidRPr="002B32AB">
        <w:rPr>
          <w:rFonts w:ascii="Times New Roman" w:hAnsi="Times New Roman"/>
          <w:b/>
          <w:sz w:val="23"/>
        </w:rPr>
        <w:t>on and Job Creation Act of 2010</w:t>
      </w:r>
    </w:p>
    <w:p w:rsidR="00AF1642" w:rsidRPr="002B32AB" w:rsidRDefault="00AF1642" w:rsidP="002B32AB">
      <w:pPr>
        <w:spacing w:after="0" w:line="240" w:lineRule="auto"/>
        <w:rPr>
          <w:rFonts w:ascii="Times New Roman" w:hAnsi="Times New Roman"/>
          <w:b/>
          <w:sz w:val="23"/>
        </w:rPr>
      </w:pPr>
    </w:p>
    <w:p w:rsidR="002B32AB" w:rsidRPr="002B32AB" w:rsidRDefault="00260DDB" w:rsidP="002B32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3"/>
        </w:rPr>
      </w:pPr>
      <w:proofErr w:type="spellStart"/>
      <w:r w:rsidRPr="002B32AB">
        <w:rPr>
          <w:rFonts w:ascii="Times New Roman" w:hAnsi="Times New Roman"/>
          <w:sz w:val="23"/>
        </w:rPr>
        <w:t>SoCal</w:t>
      </w:r>
      <w:r w:rsidR="007C72BA" w:rsidRPr="002B32AB">
        <w:rPr>
          <w:rFonts w:ascii="Times New Roman" w:hAnsi="Times New Roman"/>
          <w:sz w:val="23"/>
        </w:rPr>
        <w:t>Gas</w:t>
      </w:r>
      <w:r w:rsidRPr="002B32AB">
        <w:rPr>
          <w:rFonts w:ascii="Times New Roman" w:hAnsi="Times New Roman"/>
          <w:sz w:val="23"/>
        </w:rPr>
        <w:t>’s</w:t>
      </w:r>
      <w:proofErr w:type="spellEnd"/>
      <w:r w:rsidR="008123A6" w:rsidRPr="002B32AB">
        <w:rPr>
          <w:rFonts w:ascii="Times New Roman" w:hAnsi="Times New Roman"/>
          <w:sz w:val="23"/>
        </w:rPr>
        <w:t xml:space="preserve"> testimony states that the “estimates contained in this section were calculated using current federal and state tax laws enacted through July 30, 2010.” (Exhibit </w:t>
      </w:r>
      <w:r w:rsidRPr="002B32AB">
        <w:rPr>
          <w:rFonts w:ascii="Times New Roman" w:hAnsi="Times New Roman"/>
          <w:sz w:val="23"/>
        </w:rPr>
        <w:t>SCG-28</w:t>
      </w:r>
      <w:r w:rsidR="008123A6" w:rsidRPr="002B32AB">
        <w:rPr>
          <w:rFonts w:ascii="Times New Roman" w:hAnsi="Times New Roman"/>
          <w:sz w:val="23"/>
        </w:rPr>
        <w:t>, page RGR-</w:t>
      </w:r>
      <w:r w:rsidRPr="002B32AB">
        <w:rPr>
          <w:rFonts w:ascii="Times New Roman" w:hAnsi="Times New Roman"/>
          <w:sz w:val="23"/>
        </w:rPr>
        <w:t>7</w:t>
      </w:r>
      <w:r w:rsidR="008123A6" w:rsidRPr="002B32AB">
        <w:rPr>
          <w:rFonts w:ascii="Times New Roman" w:hAnsi="Times New Roman"/>
          <w:sz w:val="23"/>
        </w:rPr>
        <w:t xml:space="preserve">, lines </w:t>
      </w:r>
      <w:r w:rsidRPr="002B32AB">
        <w:rPr>
          <w:rFonts w:ascii="Times New Roman" w:hAnsi="Times New Roman"/>
          <w:sz w:val="23"/>
        </w:rPr>
        <w:t>14-15</w:t>
      </w:r>
      <w:r w:rsidR="008123A6" w:rsidRPr="002B32AB">
        <w:rPr>
          <w:rFonts w:ascii="Times New Roman" w:hAnsi="Times New Roman"/>
          <w:sz w:val="23"/>
        </w:rPr>
        <w:t xml:space="preserve">)  </w:t>
      </w:r>
      <w:proofErr w:type="spellStart"/>
      <w:r w:rsidR="00A27CA4" w:rsidRPr="002B32AB">
        <w:rPr>
          <w:rFonts w:ascii="Times New Roman" w:hAnsi="Times New Roman"/>
          <w:sz w:val="23"/>
        </w:rPr>
        <w:t>SoCalGas’s</w:t>
      </w:r>
      <w:proofErr w:type="spellEnd"/>
      <w:r w:rsidR="008123A6" w:rsidRPr="002B32AB">
        <w:rPr>
          <w:rFonts w:ascii="Times New Roman" w:hAnsi="Times New Roman"/>
          <w:sz w:val="23"/>
        </w:rPr>
        <w:t xml:space="preserve"> testimony also states:  “Since the effective date of </w:t>
      </w:r>
      <w:proofErr w:type="spellStart"/>
      <w:r w:rsidRPr="002B32AB">
        <w:rPr>
          <w:rFonts w:ascii="Times New Roman" w:hAnsi="Times New Roman"/>
          <w:sz w:val="23"/>
        </w:rPr>
        <w:t>SCG’s</w:t>
      </w:r>
      <w:proofErr w:type="spellEnd"/>
      <w:r w:rsidR="008123A6" w:rsidRPr="002B32AB">
        <w:rPr>
          <w:rFonts w:ascii="Times New Roman" w:hAnsi="Times New Roman"/>
          <w:sz w:val="23"/>
        </w:rPr>
        <w:t xml:space="preserve"> 2008 GRC decision, Congress has passed three major pieces of legislation with deferred tax implications for </w:t>
      </w:r>
      <w:proofErr w:type="spellStart"/>
      <w:r w:rsidRPr="002B32AB">
        <w:rPr>
          <w:rFonts w:ascii="Times New Roman" w:hAnsi="Times New Roman"/>
          <w:sz w:val="23"/>
        </w:rPr>
        <w:t>SoCal</w:t>
      </w:r>
      <w:r w:rsidR="007C72BA" w:rsidRPr="002B32AB">
        <w:rPr>
          <w:rFonts w:ascii="Times New Roman" w:hAnsi="Times New Roman"/>
          <w:sz w:val="23"/>
        </w:rPr>
        <w:t>Gas</w:t>
      </w:r>
      <w:r w:rsidR="008123A6" w:rsidRPr="002B32AB">
        <w:rPr>
          <w:rFonts w:ascii="Times New Roman" w:hAnsi="Times New Roman"/>
          <w:sz w:val="23"/>
        </w:rPr>
        <w:t>’s</w:t>
      </w:r>
      <w:proofErr w:type="spellEnd"/>
      <w:r w:rsidR="008123A6" w:rsidRPr="002B32AB">
        <w:rPr>
          <w:rFonts w:ascii="Times New Roman" w:hAnsi="Times New Roman"/>
          <w:sz w:val="23"/>
        </w:rPr>
        <w:t xml:space="preserve"> 2012 TY estimates.” (</w:t>
      </w:r>
      <w:proofErr w:type="gramStart"/>
      <w:r w:rsidR="008123A6" w:rsidRPr="002B32AB">
        <w:rPr>
          <w:rFonts w:ascii="Times New Roman" w:hAnsi="Times New Roman"/>
          <w:sz w:val="23"/>
        </w:rPr>
        <w:t>page</w:t>
      </w:r>
      <w:proofErr w:type="gramEnd"/>
      <w:r w:rsidR="008123A6" w:rsidRPr="002B32AB">
        <w:rPr>
          <w:rFonts w:ascii="Times New Roman" w:hAnsi="Times New Roman"/>
          <w:sz w:val="23"/>
        </w:rPr>
        <w:t xml:space="preserve"> RGR-15, lines 22-23) One of these pieces of legislation is identified as “the Small Business Jobs Act of 2010” (page RGR-</w:t>
      </w:r>
      <w:r w:rsidRPr="002B32AB">
        <w:rPr>
          <w:rFonts w:ascii="Times New Roman" w:hAnsi="Times New Roman"/>
          <w:sz w:val="23"/>
        </w:rPr>
        <w:t>12</w:t>
      </w:r>
      <w:r w:rsidR="008123A6" w:rsidRPr="002B32AB">
        <w:rPr>
          <w:rFonts w:ascii="Times New Roman" w:hAnsi="Times New Roman"/>
          <w:sz w:val="23"/>
        </w:rPr>
        <w:t xml:space="preserve">, lines </w:t>
      </w:r>
      <w:r w:rsidRPr="002B32AB">
        <w:rPr>
          <w:rFonts w:ascii="Times New Roman" w:hAnsi="Times New Roman"/>
          <w:sz w:val="23"/>
        </w:rPr>
        <w:t>20-22</w:t>
      </w:r>
      <w:r w:rsidR="008123A6" w:rsidRPr="002B32AB">
        <w:rPr>
          <w:rFonts w:ascii="Times New Roman" w:hAnsi="Times New Roman"/>
          <w:sz w:val="23"/>
        </w:rPr>
        <w:t xml:space="preserve">), which was passed after July 30, 2010.  Was the impact of the Small Business Jobs Act of 2010 actually included in </w:t>
      </w:r>
      <w:proofErr w:type="spellStart"/>
      <w:r w:rsidR="00A27CA4" w:rsidRPr="002B32AB">
        <w:rPr>
          <w:rFonts w:ascii="Times New Roman" w:hAnsi="Times New Roman"/>
          <w:sz w:val="23"/>
        </w:rPr>
        <w:t>SoCalGas’s</w:t>
      </w:r>
      <w:proofErr w:type="spellEnd"/>
      <w:r w:rsidR="00631FCF" w:rsidRPr="002B32AB">
        <w:rPr>
          <w:rFonts w:ascii="Times New Roman" w:hAnsi="Times New Roman"/>
          <w:sz w:val="23"/>
        </w:rPr>
        <w:t xml:space="preserve"> </w:t>
      </w:r>
      <w:r w:rsidR="008123A6" w:rsidRPr="002B32AB">
        <w:rPr>
          <w:rFonts w:ascii="Times New Roman" w:hAnsi="Times New Roman"/>
          <w:sz w:val="23"/>
        </w:rPr>
        <w:t>application or not?</w:t>
      </w:r>
      <w:r w:rsidR="00131452" w:rsidRPr="002B32AB">
        <w:rPr>
          <w:rFonts w:ascii="Times New Roman" w:hAnsi="Times New Roman"/>
          <w:sz w:val="23"/>
        </w:rPr>
        <w:t xml:space="preserve">  If it was, provide </w:t>
      </w:r>
      <w:proofErr w:type="spellStart"/>
      <w:r w:rsidR="00131452" w:rsidRPr="002B32AB">
        <w:rPr>
          <w:rFonts w:ascii="Times New Roman" w:hAnsi="Times New Roman"/>
          <w:sz w:val="23"/>
        </w:rPr>
        <w:t>workpapers</w:t>
      </w:r>
      <w:proofErr w:type="spellEnd"/>
      <w:r w:rsidR="00131452" w:rsidRPr="002B32AB">
        <w:rPr>
          <w:rFonts w:ascii="Times New Roman" w:hAnsi="Times New Roman"/>
          <w:sz w:val="23"/>
        </w:rPr>
        <w:t xml:space="preserve"> showing the impact of this legislation on to </w:t>
      </w:r>
      <w:proofErr w:type="spellStart"/>
      <w:r w:rsidR="00A27CA4" w:rsidRPr="002B32AB">
        <w:rPr>
          <w:rFonts w:ascii="Times New Roman" w:hAnsi="Times New Roman"/>
          <w:sz w:val="23"/>
        </w:rPr>
        <w:t>SoCalGas’s</w:t>
      </w:r>
      <w:proofErr w:type="spellEnd"/>
      <w:r w:rsidR="00131452" w:rsidRPr="002B32AB">
        <w:rPr>
          <w:rFonts w:ascii="Times New Roman" w:hAnsi="Times New Roman"/>
          <w:sz w:val="23"/>
        </w:rPr>
        <w:t xml:space="preserve"> forecast 2010, 2011 and 2012 current and deferred income tax expense, 2011 and 2012 property tax expense, and 2011 and 2012 rate base</w:t>
      </w:r>
      <w:r w:rsidRPr="002B32AB">
        <w:rPr>
          <w:rFonts w:ascii="Times New Roman" w:hAnsi="Times New Roman"/>
          <w:sz w:val="23"/>
        </w:rPr>
        <w:t>.</w:t>
      </w:r>
    </w:p>
    <w:p w:rsidR="008123A6" w:rsidRPr="002B32AB" w:rsidRDefault="008123A6" w:rsidP="002B32AB">
      <w:pPr>
        <w:pStyle w:val="ListParagraph"/>
        <w:spacing w:after="0" w:line="360" w:lineRule="auto"/>
        <w:rPr>
          <w:rFonts w:ascii="Times New Roman" w:hAnsi="Times New Roman"/>
          <w:b/>
          <w:sz w:val="23"/>
        </w:rPr>
      </w:pPr>
    </w:p>
    <w:p w:rsidR="00610D7F" w:rsidRPr="002B32AB" w:rsidRDefault="007C5CE2" w:rsidP="002B32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3"/>
        </w:rPr>
        <w:sectPr w:rsidR="00610D7F" w:rsidRPr="002B32AB" w:rsidSect="002B32AB">
          <w:pgSz w:w="12240" w:h="15840"/>
          <w:pgMar w:top="1440" w:right="1440" w:bottom="1440" w:left="1440" w:gutter="0"/>
          <w:docGrid w:linePitch="360"/>
        </w:sectPr>
      </w:pPr>
      <w:r w:rsidRPr="002B32AB">
        <w:rPr>
          <w:rFonts w:ascii="Times New Roman" w:hAnsi="Times New Roman"/>
          <w:sz w:val="23"/>
        </w:rPr>
        <w:t xml:space="preserve">Please provide the amount of bonus depreciation taken by </w:t>
      </w:r>
      <w:proofErr w:type="spellStart"/>
      <w:r w:rsidR="00260DDB" w:rsidRPr="002B32AB">
        <w:rPr>
          <w:rFonts w:ascii="Times New Roman" w:hAnsi="Times New Roman"/>
          <w:sz w:val="23"/>
        </w:rPr>
        <w:t>SoCal</w:t>
      </w:r>
      <w:r w:rsidR="00A27CA4" w:rsidRPr="002B32AB">
        <w:rPr>
          <w:rFonts w:ascii="Times New Roman" w:hAnsi="Times New Roman"/>
          <w:sz w:val="23"/>
        </w:rPr>
        <w:t>Gas</w:t>
      </w:r>
      <w:proofErr w:type="spellEnd"/>
      <w:r w:rsidRPr="002B32AB">
        <w:rPr>
          <w:rFonts w:ascii="Times New Roman" w:hAnsi="Times New Roman"/>
          <w:sz w:val="23"/>
        </w:rPr>
        <w:t xml:space="preserve"> (a) for GRC functions; (b) for other functions divided into FERC jurisdictional and various balancing accounts in each of the years 2008 and 2009 as recorded</w:t>
      </w:r>
      <w:r w:rsidR="008123A6" w:rsidRPr="002B32AB">
        <w:rPr>
          <w:rFonts w:ascii="Times New Roman" w:hAnsi="Times New Roman"/>
          <w:sz w:val="23"/>
        </w:rPr>
        <w:t>, and 2010 as forecast (if the Small Bus</w:t>
      </w:r>
      <w:r w:rsidR="002B32AB" w:rsidRPr="002B32AB">
        <w:rPr>
          <w:rFonts w:ascii="Times New Roman" w:hAnsi="Times New Roman"/>
          <w:sz w:val="23"/>
        </w:rPr>
        <w:t>iness Jobs Act was included).</w:t>
      </w:r>
    </w:p>
    <w:p w:rsidR="002B32AB" w:rsidRPr="002B32AB" w:rsidRDefault="008123A6" w:rsidP="002B32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3"/>
        </w:rPr>
      </w:pPr>
      <w:r w:rsidRPr="002B32AB">
        <w:rPr>
          <w:rFonts w:ascii="Times New Roman" w:hAnsi="Times New Roman"/>
          <w:sz w:val="23"/>
        </w:rPr>
        <w:t xml:space="preserve">The Small Business Jobs Act, signed into law on September 27, provided retroactive bonus depreciation of 50% for the year 2010.  </w:t>
      </w:r>
      <w:r w:rsidR="007C5CE2" w:rsidRPr="002B32AB">
        <w:rPr>
          <w:rFonts w:ascii="Times New Roman" w:hAnsi="Times New Roman"/>
          <w:sz w:val="23"/>
        </w:rPr>
        <w:t xml:space="preserve">The </w:t>
      </w:r>
      <w:r w:rsidR="00814B3F" w:rsidRPr="002B32AB">
        <w:rPr>
          <w:rFonts w:ascii="Times New Roman" w:hAnsi="Times New Roman"/>
          <w:sz w:val="23"/>
        </w:rPr>
        <w:t xml:space="preserve">Tax Relief, Unemployment Insurance Reauthorization and Job Creation Act of 2010 </w:t>
      </w:r>
      <w:r w:rsidR="007C5CE2" w:rsidRPr="002B32AB">
        <w:rPr>
          <w:rFonts w:ascii="Times New Roman" w:hAnsi="Times New Roman"/>
          <w:sz w:val="23"/>
        </w:rPr>
        <w:t xml:space="preserve">signed by President Obama on December 17, 2010 provided for additional bonus depreciation in 2010 (increase from 50% to 100% for plant in service after September 8), 2011 (100% of qualified plant), and 2012 (50% of qualified plant).  Please provide a revision to </w:t>
      </w:r>
      <w:proofErr w:type="spellStart"/>
      <w:r w:rsidR="00A27CA4" w:rsidRPr="002B32AB">
        <w:rPr>
          <w:rFonts w:ascii="Times New Roman" w:hAnsi="Times New Roman"/>
          <w:sz w:val="23"/>
        </w:rPr>
        <w:t>SoCalGas’s</w:t>
      </w:r>
      <w:proofErr w:type="spellEnd"/>
      <w:r w:rsidR="007C5CE2" w:rsidRPr="002B32AB">
        <w:rPr>
          <w:rFonts w:ascii="Times New Roman" w:hAnsi="Times New Roman"/>
          <w:sz w:val="23"/>
        </w:rPr>
        <w:t xml:space="preserve"> forecast 2010, 2011 and 2012 current and deferred income tax expense, 2011 and 2012 property tax expense, and 2011 and 2012 rate base arising from </w:t>
      </w:r>
      <w:r w:rsidRPr="002B32AB">
        <w:rPr>
          <w:rFonts w:ascii="Times New Roman" w:hAnsi="Times New Roman"/>
          <w:sz w:val="23"/>
        </w:rPr>
        <w:t>these two</w:t>
      </w:r>
      <w:r w:rsidR="007C5CE2" w:rsidRPr="002B32AB">
        <w:rPr>
          <w:rFonts w:ascii="Times New Roman" w:hAnsi="Times New Roman"/>
          <w:sz w:val="23"/>
        </w:rPr>
        <w:t xml:space="preserve"> tax law change</w:t>
      </w:r>
      <w:r w:rsidRPr="002B32AB">
        <w:rPr>
          <w:rFonts w:ascii="Times New Roman" w:hAnsi="Times New Roman"/>
          <w:sz w:val="23"/>
        </w:rPr>
        <w:t>s</w:t>
      </w:r>
      <w:r w:rsidR="007C5CE2" w:rsidRPr="002B32AB">
        <w:rPr>
          <w:rFonts w:ascii="Times New Roman" w:hAnsi="Times New Roman"/>
          <w:sz w:val="23"/>
        </w:rPr>
        <w:t xml:space="preserve"> </w:t>
      </w:r>
      <w:r w:rsidR="00131452" w:rsidRPr="002B32AB">
        <w:rPr>
          <w:rFonts w:ascii="Times New Roman" w:hAnsi="Times New Roman"/>
          <w:sz w:val="23"/>
        </w:rPr>
        <w:t xml:space="preserve">(only the second change if the Small Business Jobs Act was included in the application) </w:t>
      </w:r>
      <w:r w:rsidR="007C5CE2" w:rsidRPr="002B32AB">
        <w:rPr>
          <w:rFonts w:ascii="Times New Roman" w:hAnsi="Times New Roman"/>
          <w:sz w:val="23"/>
        </w:rPr>
        <w:t xml:space="preserve">and provide a complete set of supporting </w:t>
      </w:r>
      <w:proofErr w:type="spellStart"/>
      <w:r w:rsidR="007C5CE2" w:rsidRPr="002B32AB">
        <w:rPr>
          <w:rFonts w:ascii="Times New Roman" w:hAnsi="Times New Roman"/>
          <w:sz w:val="23"/>
        </w:rPr>
        <w:t>workpapers</w:t>
      </w:r>
      <w:proofErr w:type="spellEnd"/>
      <w:r w:rsidR="007C5CE2" w:rsidRPr="002B32AB">
        <w:rPr>
          <w:rFonts w:ascii="Times New Roman" w:hAnsi="Times New Roman"/>
          <w:sz w:val="23"/>
        </w:rPr>
        <w:t>.</w:t>
      </w:r>
    </w:p>
    <w:p w:rsidR="007C5CE2" w:rsidRPr="002B32AB" w:rsidRDefault="007C5CE2" w:rsidP="002B32AB">
      <w:pPr>
        <w:spacing w:after="0" w:line="360" w:lineRule="auto"/>
        <w:rPr>
          <w:rFonts w:ascii="Times New Roman" w:hAnsi="Times New Roman"/>
          <w:sz w:val="23"/>
        </w:rPr>
      </w:pPr>
    </w:p>
    <w:p w:rsidR="002B32AB" w:rsidRPr="002B32AB" w:rsidRDefault="00131452" w:rsidP="002B32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3"/>
        </w:rPr>
      </w:pPr>
      <w:r w:rsidRPr="002B32AB">
        <w:rPr>
          <w:rFonts w:ascii="Times New Roman" w:hAnsi="Times New Roman"/>
          <w:sz w:val="23"/>
        </w:rPr>
        <w:t xml:space="preserve">Will property taxes assessed by </w:t>
      </w:r>
      <w:r w:rsidR="007C5CE2" w:rsidRPr="002B32AB">
        <w:rPr>
          <w:rFonts w:ascii="Times New Roman" w:hAnsi="Times New Roman"/>
          <w:sz w:val="23"/>
        </w:rPr>
        <w:t xml:space="preserve">the State Board of Equalization change as a result of the </w:t>
      </w:r>
      <w:r w:rsidR="00814B3F" w:rsidRPr="002B32AB">
        <w:rPr>
          <w:rFonts w:ascii="Times New Roman" w:hAnsi="Times New Roman"/>
          <w:sz w:val="23"/>
        </w:rPr>
        <w:t xml:space="preserve">Tax Relief, Unemployment Insurance Reauthorization and Job Creation Act of 2010?  If so, please explain why and provide revised calculations of </w:t>
      </w:r>
      <w:r w:rsidRPr="002B32AB">
        <w:rPr>
          <w:rFonts w:ascii="Times New Roman" w:hAnsi="Times New Roman"/>
          <w:sz w:val="23"/>
        </w:rPr>
        <w:t>property taxes</w:t>
      </w:r>
      <w:r w:rsidR="00814B3F" w:rsidRPr="002B32AB">
        <w:rPr>
          <w:rFonts w:ascii="Times New Roman" w:hAnsi="Times New Roman"/>
          <w:sz w:val="23"/>
        </w:rPr>
        <w:t xml:space="preserve"> with and without this tax act.</w:t>
      </w:r>
      <w:r w:rsidRPr="002B32AB">
        <w:rPr>
          <w:rFonts w:ascii="Times New Roman" w:hAnsi="Times New Roman"/>
          <w:sz w:val="23"/>
        </w:rPr>
        <w:t xml:space="preserve">  If not, please explain why no change will be made.</w:t>
      </w:r>
    </w:p>
    <w:p w:rsidR="007C5CE2" w:rsidRPr="002B32AB" w:rsidRDefault="007C5CE2" w:rsidP="002B32AB">
      <w:pPr>
        <w:spacing w:after="0" w:line="360" w:lineRule="auto"/>
        <w:rPr>
          <w:rFonts w:ascii="Times New Roman" w:hAnsi="Times New Roman"/>
          <w:sz w:val="23"/>
        </w:rPr>
      </w:pPr>
    </w:p>
    <w:p w:rsidR="00090B5A" w:rsidRPr="002B32AB" w:rsidRDefault="00090B5A" w:rsidP="002B32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3"/>
        </w:rPr>
      </w:pPr>
      <w:r w:rsidRPr="002B32AB">
        <w:rPr>
          <w:rFonts w:ascii="Times New Roman" w:hAnsi="Times New Roman"/>
          <w:sz w:val="23"/>
        </w:rPr>
        <w:t xml:space="preserve">Does </w:t>
      </w:r>
      <w:proofErr w:type="spellStart"/>
      <w:r w:rsidRPr="002B32AB">
        <w:rPr>
          <w:rFonts w:ascii="Times New Roman" w:hAnsi="Times New Roman"/>
          <w:sz w:val="23"/>
        </w:rPr>
        <w:t>SoCalGas</w:t>
      </w:r>
      <w:proofErr w:type="spellEnd"/>
      <w:r w:rsidRPr="002B32AB">
        <w:rPr>
          <w:rFonts w:ascii="Times New Roman" w:hAnsi="Times New Roman"/>
          <w:sz w:val="23"/>
        </w:rPr>
        <w:t xml:space="preserve"> have any plans to make additional investments in plant and equipment in 2011 or 2012 as a result of these income tax changes?  If so, please describe in detail all plans </w:t>
      </w:r>
      <w:proofErr w:type="spellStart"/>
      <w:r w:rsidRPr="002B32AB">
        <w:rPr>
          <w:rFonts w:ascii="Times New Roman" w:hAnsi="Times New Roman"/>
          <w:sz w:val="23"/>
        </w:rPr>
        <w:t>SoCalGas</w:t>
      </w:r>
      <w:proofErr w:type="spellEnd"/>
      <w:r w:rsidRPr="002B32AB">
        <w:rPr>
          <w:rFonts w:ascii="Times New Roman" w:hAnsi="Times New Roman"/>
          <w:sz w:val="23"/>
        </w:rPr>
        <w:t xml:space="preserve"> currently has to make additional investments in plant and equipment in 2011 or 2012 as a result of this income tax change.  In the description, please include the following:</w:t>
      </w:r>
    </w:p>
    <w:p w:rsidR="002B32AB" w:rsidRPr="002B32AB" w:rsidRDefault="00090B5A" w:rsidP="002B32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</w:rPr>
      </w:pPr>
      <w:r w:rsidRPr="002B32AB">
        <w:rPr>
          <w:rFonts w:ascii="Times New Roman" w:hAnsi="Times New Roman"/>
          <w:sz w:val="23"/>
        </w:rPr>
        <w:t xml:space="preserve">Please provide </w:t>
      </w:r>
      <w:proofErr w:type="spellStart"/>
      <w:r w:rsidRPr="002B32AB">
        <w:rPr>
          <w:rFonts w:ascii="Times New Roman" w:hAnsi="Times New Roman"/>
          <w:sz w:val="23"/>
        </w:rPr>
        <w:t>SoCalGas’s</w:t>
      </w:r>
      <w:proofErr w:type="spellEnd"/>
      <w:r w:rsidRPr="002B32AB">
        <w:rPr>
          <w:rFonts w:ascii="Times New Roman" w:hAnsi="Times New Roman"/>
          <w:sz w:val="23"/>
        </w:rPr>
        <w:t xml:space="preserve"> most recent forecast of additional investments (by individual project for projects costs in excess of $1 million and by each type of investment – e.g.,  $X for Y miles of pipeline replacement).</w:t>
      </w:r>
    </w:p>
    <w:p w:rsidR="00090B5A" w:rsidRPr="002B32AB" w:rsidRDefault="00090B5A" w:rsidP="002B32AB">
      <w:pPr>
        <w:pStyle w:val="ListParagraph"/>
        <w:spacing w:after="0" w:line="240" w:lineRule="auto"/>
        <w:ind w:left="1440"/>
        <w:rPr>
          <w:rFonts w:ascii="Times New Roman" w:hAnsi="Times New Roman"/>
          <w:sz w:val="23"/>
        </w:rPr>
      </w:pPr>
    </w:p>
    <w:p w:rsidR="002B32AB" w:rsidRPr="002B32AB" w:rsidRDefault="00090B5A" w:rsidP="002B32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</w:rPr>
      </w:pPr>
      <w:r w:rsidRPr="002B32AB">
        <w:rPr>
          <w:rFonts w:ascii="Times New Roman" w:hAnsi="Times New Roman"/>
          <w:sz w:val="23"/>
        </w:rPr>
        <w:t xml:space="preserve">Please identify the impacts such additional investments would have on 2012 rate base requested in this case (including gross plant, accumulated depreciation and accumulated deferred income taxes).  </w:t>
      </w:r>
    </w:p>
    <w:p w:rsidR="00090B5A" w:rsidRPr="002B32AB" w:rsidRDefault="00090B5A" w:rsidP="002B32AB">
      <w:pPr>
        <w:pStyle w:val="ListParagraph"/>
        <w:spacing w:after="0" w:line="240" w:lineRule="auto"/>
        <w:ind w:left="1440"/>
        <w:rPr>
          <w:rFonts w:ascii="Times New Roman" w:hAnsi="Times New Roman"/>
          <w:sz w:val="23"/>
        </w:rPr>
      </w:pPr>
    </w:p>
    <w:p w:rsidR="002B32AB" w:rsidRPr="002B32AB" w:rsidRDefault="00090B5A" w:rsidP="002B32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</w:rPr>
      </w:pPr>
      <w:r w:rsidRPr="002B32AB">
        <w:rPr>
          <w:rFonts w:ascii="Times New Roman" w:hAnsi="Times New Roman"/>
          <w:sz w:val="23"/>
        </w:rPr>
        <w:t xml:space="preserve">Please provide a plan (including flow charts of timing, process, and costs) that indicates how </w:t>
      </w:r>
      <w:proofErr w:type="spellStart"/>
      <w:r w:rsidRPr="002B32AB">
        <w:rPr>
          <w:rFonts w:ascii="Times New Roman" w:hAnsi="Times New Roman"/>
          <w:sz w:val="23"/>
        </w:rPr>
        <w:t>SoCalGas</w:t>
      </w:r>
      <w:proofErr w:type="spellEnd"/>
      <w:r w:rsidRPr="002B32AB">
        <w:rPr>
          <w:rFonts w:ascii="Times New Roman" w:hAnsi="Times New Roman"/>
          <w:sz w:val="23"/>
        </w:rPr>
        <w:t xml:space="preserve"> expects to identify, manage and implement such additional investments in a manner that achieves the lowest cost (for example, by minimizing reliance on relatively expensive contractors or on overtime for utility employees). </w:t>
      </w:r>
    </w:p>
    <w:p w:rsidR="00090B5A" w:rsidRPr="002B32AB" w:rsidRDefault="00090B5A" w:rsidP="002B32AB">
      <w:pPr>
        <w:pStyle w:val="ListParagraph"/>
        <w:spacing w:after="0" w:line="240" w:lineRule="auto"/>
        <w:ind w:left="1440"/>
        <w:rPr>
          <w:rFonts w:ascii="Times New Roman" w:hAnsi="Times New Roman"/>
          <w:sz w:val="23"/>
        </w:rPr>
      </w:pPr>
    </w:p>
    <w:p w:rsidR="00090B5A" w:rsidRPr="002B32AB" w:rsidRDefault="00090B5A" w:rsidP="002B32A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3"/>
        </w:rPr>
      </w:pPr>
      <w:r w:rsidRPr="002B32AB">
        <w:rPr>
          <w:rFonts w:ascii="Times New Roman" w:hAnsi="Times New Roman"/>
          <w:sz w:val="23"/>
        </w:rPr>
        <w:t xml:space="preserve">Please describe how </w:t>
      </w:r>
      <w:proofErr w:type="spellStart"/>
      <w:r w:rsidRPr="002B32AB">
        <w:rPr>
          <w:rFonts w:ascii="Times New Roman" w:hAnsi="Times New Roman"/>
          <w:sz w:val="23"/>
        </w:rPr>
        <w:t>SoCalGas</w:t>
      </w:r>
      <w:proofErr w:type="spellEnd"/>
      <w:r w:rsidRPr="002B32AB">
        <w:rPr>
          <w:rFonts w:ascii="Times New Roman" w:hAnsi="Times New Roman"/>
          <w:sz w:val="23"/>
        </w:rPr>
        <w:t xml:space="preserve"> will evaluate the additional spending in terms of cost-effectiveness.</w:t>
      </w:r>
    </w:p>
    <w:p w:rsidR="007C5CE2" w:rsidRPr="002B32AB" w:rsidRDefault="007C5CE2" w:rsidP="002B32AB">
      <w:pPr>
        <w:spacing w:after="0" w:line="240" w:lineRule="auto"/>
        <w:rPr>
          <w:rFonts w:ascii="Times New Roman" w:hAnsi="Times New Roman"/>
          <w:sz w:val="23"/>
        </w:rPr>
      </w:pPr>
    </w:p>
    <w:sectPr w:rsidR="007C5CE2" w:rsidRPr="002B32AB" w:rsidSect="002B32A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76"/>
    <w:multiLevelType w:val="hybridMultilevel"/>
    <w:tmpl w:val="6B3E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7C5CE2"/>
    <w:rsid w:val="00090B5A"/>
    <w:rsid w:val="00131452"/>
    <w:rsid w:val="00260DDB"/>
    <w:rsid w:val="00282DB2"/>
    <w:rsid w:val="002B32AB"/>
    <w:rsid w:val="00567917"/>
    <w:rsid w:val="005F2A9E"/>
    <w:rsid w:val="00610D7F"/>
    <w:rsid w:val="00631FCF"/>
    <w:rsid w:val="00713C3D"/>
    <w:rsid w:val="0071731A"/>
    <w:rsid w:val="00787DB5"/>
    <w:rsid w:val="007C5CE2"/>
    <w:rsid w:val="007C72BA"/>
    <w:rsid w:val="008123A6"/>
    <w:rsid w:val="00814B3F"/>
    <w:rsid w:val="008467BF"/>
    <w:rsid w:val="00880DF2"/>
    <w:rsid w:val="008D07A3"/>
    <w:rsid w:val="009616AC"/>
    <w:rsid w:val="009A7CBE"/>
    <w:rsid w:val="00A2490C"/>
    <w:rsid w:val="00A27CA4"/>
    <w:rsid w:val="00A70E95"/>
    <w:rsid w:val="00A866D8"/>
    <w:rsid w:val="00AF1642"/>
    <w:rsid w:val="00DE002B"/>
    <w:rsid w:val="00FD6D5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16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AF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DF2"/>
    <w:rPr>
      <w:color w:val="0000FF"/>
      <w:u w:val="single"/>
    </w:rPr>
  </w:style>
  <w:style w:type="paragraph" w:styleId="Header">
    <w:name w:val="header"/>
    <w:basedOn w:val="Normal"/>
    <w:link w:val="HeaderChar"/>
    <w:rsid w:val="002B32AB"/>
    <w:pPr>
      <w:tabs>
        <w:tab w:val="center" w:pos="4320"/>
        <w:tab w:val="right" w:pos="8640"/>
      </w:tabs>
      <w:spacing w:after="18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B32AB"/>
    <w:rPr>
      <w:rFonts w:ascii="Book Antiqua" w:eastAsia="Times New Roman" w:hAnsi="Book Antiqu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3551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B. Marcus</dc:creator>
  <cp:lastModifiedBy>Nina Suetake</cp:lastModifiedBy>
  <cp:revision>5</cp:revision>
  <dcterms:created xsi:type="dcterms:W3CDTF">2011-03-01T18:20:00Z</dcterms:created>
  <dcterms:modified xsi:type="dcterms:W3CDTF">2011-03-01T18:27:00Z</dcterms:modified>
</cp:coreProperties>
</file>