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E9" w:rsidRDefault="009859E9" w:rsidP="00F67377">
      <w:pPr>
        <w:rPr>
          <w:rFonts w:ascii="Arial" w:hAnsi="Arial" w:cs="Arial"/>
          <w:b/>
          <w:u w:val="single"/>
        </w:rPr>
      </w:pPr>
    </w:p>
    <w:p w:rsidR="009859E9" w:rsidRPr="002F2315" w:rsidRDefault="009859E9" w:rsidP="002F2315">
      <w:pPr>
        <w:spacing w:after="120" w:line="360" w:lineRule="auto"/>
        <w:rPr>
          <w:rFonts w:ascii="Calibri" w:hAnsi="Calibri" w:cs="Arial"/>
          <w:b/>
          <w:u w:val="single"/>
        </w:rPr>
      </w:pPr>
      <w:r w:rsidRPr="002F2315">
        <w:rPr>
          <w:rFonts w:ascii="Calibri" w:hAnsi="Calibri" w:cs="Arial"/>
          <w:b/>
          <w:u w:val="single"/>
        </w:rPr>
        <w:t>Question 1:</w:t>
      </w:r>
    </w:p>
    <w:p w:rsidR="00413F61" w:rsidRPr="002F2315" w:rsidRDefault="00413F61" w:rsidP="002F2315">
      <w:pPr>
        <w:pStyle w:val="Default"/>
        <w:spacing w:line="360" w:lineRule="auto"/>
        <w:rPr>
          <w:rFonts w:ascii="Calibri" w:hAnsi="Calibri"/>
        </w:rPr>
      </w:pPr>
      <w:r w:rsidRPr="002F2315">
        <w:rPr>
          <w:rFonts w:ascii="Calibri" w:hAnsi="Calibri"/>
        </w:rPr>
        <w:t xml:space="preserve">For how many customers has SoCalGas provided higher than standard delivery pressure services downstream of the customer’s utility meter on customer property, at a higher pressure than provided at the customer’s utility meter, pursuant to the provisions of SoCalGas’ Rule 2? </w:t>
      </w:r>
    </w:p>
    <w:p w:rsidR="00413F61" w:rsidRPr="002F2315" w:rsidRDefault="00413F61" w:rsidP="002F2315">
      <w:pPr>
        <w:pStyle w:val="Default"/>
        <w:spacing w:line="360" w:lineRule="auto"/>
        <w:rPr>
          <w:rFonts w:ascii="Calibri" w:hAnsi="Calibri"/>
        </w:rPr>
      </w:pPr>
    </w:p>
    <w:p w:rsidR="00413F61" w:rsidRPr="002F2315" w:rsidRDefault="00413F61" w:rsidP="002F2315">
      <w:pPr>
        <w:pStyle w:val="Default"/>
        <w:numPr>
          <w:ilvl w:val="0"/>
          <w:numId w:val="22"/>
        </w:numPr>
        <w:spacing w:line="360" w:lineRule="auto"/>
        <w:rPr>
          <w:rFonts w:ascii="Calibri" w:hAnsi="Calibri"/>
        </w:rPr>
      </w:pPr>
      <w:r w:rsidRPr="002F2315">
        <w:rPr>
          <w:rFonts w:ascii="Calibri" w:hAnsi="Calibri"/>
        </w:rPr>
        <w:t xml:space="preserve">If any, what was the reason claimed by each such customer for its request for higher than standard delivery pressure provided downstream of the utility meter on customer property by SoCalGas? </w:t>
      </w:r>
    </w:p>
    <w:p w:rsidR="00413F61" w:rsidRPr="002F2315" w:rsidRDefault="00413F61" w:rsidP="002F2315">
      <w:pPr>
        <w:pStyle w:val="Default"/>
        <w:numPr>
          <w:ilvl w:val="0"/>
          <w:numId w:val="22"/>
        </w:numPr>
        <w:spacing w:line="360" w:lineRule="auto"/>
        <w:rPr>
          <w:rFonts w:ascii="Calibri" w:hAnsi="Calibri"/>
        </w:rPr>
      </w:pPr>
      <w:r w:rsidRPr="002F2315">
        <w:rPr>
          <w:rFonts w:ascii="Calibri" w:hAnsi="Calibri"/>
        </w:rPr>
        <w:t xml:space="preserve">For each such customer, please provide the NAICS codes for its primary line of business. </w:t>
      </w:r>
    </w:p>
    <w:p w:rsidR="00413F61" w:rsidRPr="002F2315" w:rsidRDefault="00413F61" w:rsidP="002F2315">
      <w:pPr>
        <w:pStyle w:val="Default"/>
        <w:numPr>
          <w:ilvl w:val="0"/>
          <w:numId w:val="22"/>
        </w:numPr>
        <w:spacing w:line="360" w:lineRule="auto"/>
        <w:rPr>
          <w:rFonts w:ascii="Calibri" w:hAnsi="Calibri"/>
        </w:rPr>
      </w:pPr>
      <w:r w:rsidRPr="002F2315">
        <w:rPr>
          <w:rFonts w:ascii="Calibri" w:hAnsi="Calibri"/>
        </w:rPr>
        <w:t xml:space="preserve">For each such customer, what was the higher than standard delivery pressure provided by SoCalGas on customer property downstream of the utility meter used by the customer? </w:t>
      </w:r>
    </w:p>
    <w:p w:rsidR="000B5948" w:rsidRPr="002F2315" w:rsidRDefault="000B5948" w:rsidP="002F2315">
      <w:pPr>
        <w:pStyle w:val="BodyTextFirstIndent"/>
        <w:ind w:firstLine="0"/>
        <w:rPr>
          <w:rFonts w:ascii="Calibri" w:eastAsia="Times New Roman" w:hAnsi="Calibri" w:cs="Arial"/>
          <w:b/>
          <w:szCs w:val="24"/>
          <w:u w:val="single"/>
        </w:rPr>
      </w:pPr>
    </w:p>
    <w:p w:rsidR="009859E9" w:rsidRPr="002F2315" w:rsidRDefault="009859E9" w:rsidP="002F2315">
      <w:pPr>
        <w:pStyle w:val="BodyTextFirstIndent"/>
        <w:ind w:firstLine="0"/>
        <w:rPr>
          <w:rFonts w:ascii="Calibri" w:hAnsi="Calibri" w:cs="Arial"/>
          <w:b/>
          <w:szCs w:val="24"/>
          <w:u w:val="single"/>
        </w:rPr>
      </w:pPr>
      <w:r w:rsidRPr="002F2315">
        <w:rPr>
          <w:rFonts w:ascii="Calibri" w:hAnsi="Calibri" w:cs="Arial"/>
          <w:b/>
          <w:szCs w:val="24"/>
          <w:u w:val="single"/>
        </w:rPr>
        <w:t xml:space="preserve">Response 1: </w:t>
      </w:r>
    </w:p>
    <w:p w:rsidR="00355086" w:rsidRPr="002F2315" w:rsidRDefault="00317ECB" w:rsidP="002F2315">
      <w:pPr>
        <w:spacing w:after="120" w:line="360" w:lineRule="auto"/>
        <w:rPr>
          <w:rFonts w:ascii="Calibri" w:hAnsi="Calibri" w:cs="Arial"/>
          <w:b/>
          <w:u w:val="single"/>
        </w:rPr>
      </w:pPr>
      <w:r w:rsidRPr="002F2315">
        <w:rPr>
          <w:rFonts w:ascii="Calibri" w:hAnsi="Calibri" w:cs="Arial"/>
          <w:bCs/>
          <w:iCs/>
        </w:rPr>
        <w:t>SoCalGas</w:t>
      </w:r>
      <w:r w:rsidR="005029CA">
        <w:rPr>
          <w:rFonts w:ascii="Calibri" w:hAnsi="Calibri" w:cs="Arial"/>
          <w:bCs/>
          <w:iCs/>
        </w:rPr>
        <w:t xml:space="preserve"> currently provides no customers with compression</w:t>
      </w:r>
      <w:r w:rsidR="00696A82" w:rsidRPr="002F2315">
        <w:rPr>
          <w:rFonts w:ascii="Calibri" w:hAnsi="Calibri" w:cs="Arial"/>
          <w:bCs/>
          <w:iCs/>
        </w:rPr>
        <w:t xml:space="preserve"> services</w:t>
      </w:r>
      <w:r w:rsidR="004342FD" w:rsidRPr="002F2315">
        <w:rPr>
          <w:rFonts w:ascii="Calibri" w:hAnsi="Calibri" w:cs="Arial"/>
          <w:bCs/>
          <w:iCs/>
        </w:rPr>
        <w:t xml:space="preserve"> </w:t>
      </w:r>
      <w:r w:rsidR="005029CA">
        <w:rPr>
          <w:rFonts w:ascii="Calibri" w:hAnsi="Calibri" w:cs="Arial"/>
          <w:bCs/>
          <w:iCs/>
        </w:rPr>
        <w:t>downstream of</w:t>
      </w:r>
      <w:r w:rsidR="005029CA" w:rsidRPr="002F2315">
        <w:rPr>
          <w:rFonts w:ascii="Calibri" w:hAnsi="Calibri" w:cs="Arial"/>
          <w:bCs/>
          <w:iCs/>
        </w:rPr>
        <w:t xml:space="preserve"> </w:t>
      </w:r>
      <w:r w:rsidR="004342FD" w:rsidRPr="002F2315">
        <w:rPr>
          <w:rFonts w:ascii="Calibri" w:hAnsi="Calibri" w:cs="Arial"/>
          <w:bCs/>
          <w:iCs/>
        </w:rPr>
        <w:t>the customer meter</w:t>
      </w:r>
      <w:r w:rsidR="005029CA">
        <w:rPr>
          <w:rFonts w:ascii="Calibri" w:hAnsi="Calibri" w:cs="Arial"/>
          <w:bCs/>
          <w:iCs/>
        </w:rPr>
        <w:t xml:space="preserve"> at a higher pressure than provided at the customers’ utility meter</w:t>
      </w:r>
      <w:r w:rsidR="004342FD" w:rsidRPr="002F2315">
        <w:rPr>
          <w:rFonts w:ascii="Calibri" w:hAnsi="Calibri" w:cs="Arial"/>
          <w:bCs/>
          <w:iCs/>
        </w:rPr>
        <w:t xml:space="preserve">.  </w:t>
      </w:r>
      <w:r w:rsidR="007E415B">
        <w:rPr>
          <w:rFonts w:ascii="Calibri" w:hAnsi="Calibri" w:cs="Arial"/>
          <w:bCs/>
          <w:iCs/>
        </w:rPr>
        <w:t>However, we note that t</w:t>
      </w:r>
      <w:r w:rsidR="004342FD" w:rsidRPr="002F2315">
        <w:rPr>
          <w:rFonts w:ascii="Calibri" w:hAnsi="Calibri" w:cs="Arial"/>
          <w:bCs/>
          <w:iCs/>
        </w:rPr>
        <w:t xml:space="preserve">here </w:t>
      </w:r>
      <w:r w:rsidR="007421A0" w:rsidRPr="002F2315">
        <w:rPr>
          <w:rFonts w:ascii="Calibri" w:hAnsi="Calibri" w:cs="Arial"/>
          <w:bCs/>
          <w:iCs/>
        </w:rPr>
        <w:t>is also</w:t>
      </w:r>
      <w:r w:rsidR="00462A0B" w:rsidRPr="002F2315">
        <w:rPr>
          <w:rFonts w:ascii="Calibri" w:hAnsi="Calibri" w:cs="Arial"/>
          <w:bCs/>
          <w:iCs/>
        </w:rPr>
        <w:t xml:space="preserve"> no</w:t>
      </w:r>
      <w:r w:rsidR="004342FD" w:rsidRPr="002F2315">
        <w:rPr>
          <w:rFonts w:ascii="Calibri" w:hAnsi="Calibri" w:cs="Arial"/>
          <w:bCs/>
          <w:iCs/>
        </w:rPr>
        <w:t xml:space="preserve"> regulatory </w:t>
      </w:r>
      <w:r w:rsidR="00462A0B" w:rsidRPr="002F2315">
        <w:rPr>
          <w:rFonts w:ascii="Calibri" w:hAnsi="Calibri" w:cs="Arial"/>
          <w:bCs/>
          <w:iCs/>
        </w:rPr>
        <w:t>prohibition</w:t>
      </w:r>
      <w:r w:rsidR="004342FD" w:rsidRPr="002F2315">
        <w:rPr>
          <w:rFonts w:ascii="Calibri" w:hAnsi="Calibri" w:cs="Arial"/>
          <w:bCs/>
          <w:iCs/>
        </w:rPr>
        <w:t xml:space="preserve"> </w:t>
      </w:r>
      <w:r w:rsidR="00462A0B" w:rsidRPr="002F2315">
        <w:rPr>
          <w:rFonts w:ascii="Calibri" w:hAnsi="Calibri" w:cs="Arial"/>
          <w:bCs/>
          <w:iCs/>
        </w:rPr>
        <w:t>on</w:t>
      </w:r>
      <w:r w:rsidR="004342FD" w:rsidRPr="002F2315">
        <w:rPr>
          <w:rFonts w:ascii="Calibri" w:hAnsi="Calibri" w:cs="Arial"/>
          <w:bCs/>
          <w:iCs/>
        </w:rPr>
        <w:t xml:space="preserve"> ow</w:t>
      </w:r>
      <w:r w:rsidR="00462A0B" w:rsidRPr="002F2315">
        <w:rPr>
          <w:rFonts w:ascii="Calibri" w:hAnsi="Calibri" w:cs="Arial"/>
          <w:bCs/>
          <w:iCs/>
        </w:rPr>
        <w:t>n</w:t>
      </w:r>
      <w:r w:rsidR="004342FD" w:rsidRPr="002F2315">
        <w:rPr>
          <w:rFonts w:ascii="Calibri" w:hAnsi="Calibri" w:cs="Arial"/>
          <w:bCs/>
          <w:iCs/>
        </w:rPr>
        <w:t xml:space="preserve">ing assets on the customer side of the meter.  </w:t>
      </w:r>
      <w:r w:rsidRPr="002F2315">
        <w:rPr>
          <w:rFonts w:ascii="Calibri" w:hAnsi="Calibri" w:cs="Arial"/>
          <w:bCs/>
          <w:iCs/>
        </w:rPr>
        <w:t xml:space="preserve"> </w:t>
      </w:r>
      <w:r w:rsidR="007E415B">
        <w:rPr>
          <w:rFonts w:ascii="Calibri" w:hAnsi="Calibri" w:cs="Arial"/>
          <w:bCs/>
          <w:iCs/>
        </w:rPr>
        <w:t>SoCalGas has signed one contract for provision of compression service on the customer side of the meter at a pressure higher than that at the revenue meter pursuant to Rule 2 with certain deviations as authorized and general order 96</w:t>
      </w:r>
      <w:r w:rsidR="00721BB9">
        <w:rPr>
          <w:rFonts w:ascii="Calibri" w:hAnsi="Calibri" w:cs="Arial"/>
          <w:bCs/>
          <w:iCs/>
        </w:rPr>
        <w:t>-</w:t>
      </w:r>
      <w:r w:rsidR="007E415B">
        <w:rPr>
          <w:rFonts w:ascii="Calibri" w:hAnsi="Calibri" w:cs="Arial"/>
          <w:bCs/>
          <w:iCs/>
        </w:rPr>
        <w:t xml:space="preserve">B.  </w:t>
      </w:r>
    </w:p>
    <w:p w:rsidR="000B5948" w:rsidRPr="00221671" w:rsidRDefault="000B5948" w:rsidP="00221671">
      <w:pPr>
        <w:spacing w:after="120" w:line="360" w:lineRule="auto"/>
        <w:rPr>
          <w:rFonts w:ascii="Calibri" w:hAnsi="Calibri" w:cs="Arial"/>
          <w:b/>
          <w:u w:val="single"/>
        </w:rPr>
      </w:pPr>
    </w:p>
    <w:p w:rsidR="000B5948" w:rsidRPr="00221671" w:rsidRDefault="000B5948" w:rsidP="00221671">
      <w:pPr>
        <w:spacing w:after="120" w:line="360" w:lineRule="auto"/>
        <w:rPr>
          <w:rFonts w:ascii="Calibri" w:hAnsi="Calibri" w:cs="Arial"/>
          <w:b/>
          <w:u w:val="single"/>
        </w:rPr>
      </w:pPr>
    </w:p>
    <w:p w:rsidR="000B5948" w:rsidRPr="00221671" w:rsidRDefault="000B5948" w:rsidP="00221671">
      <w:pPr>
        <w:spacing w:after="120" w:line="360" w:lineRule="auto"/>
        <w:rPr>
          <w:rFonts w:ascii="Calibri" w:hAnsi="Calibri" w:cs="Arial"/>
          <w:b/>
          <w:u w:val="single"/>
        </w:rPr>
      </w:pPr>
    </w:p>
    <w:p w:rsidR="000B5948" w:rsidRPr="00221671" w:rsidRDefault="000B5948" w:rsidP="00221671">
      <w:pPr>
        <w:spacing w:after="120" w:line="360" w:lineRule="auto"/>
        <w:rPr>
          <w:rFonts w:ascii="Calibri" w:hAnsi="Calibri" w:cs="Arial"/>
          <w:b/>
          <w:u w:val="single"/>
        </w:rPr>
      </w:pPr>
    </w:p>
    <w:p w:rsidR="000B5948" w:rsidRPr="00221671" w:rsidRDefault="00D30303" w:rsidP="00221671">
      <w:pPr>
        <w:spacing w:after="120" w:line="360" w:lineRule="auto"/>
        <w:rPr>
          <w:rFonts w:ascii="Calibri" w:hAnsi="Calibri" w:cs="Arial"/>
          <w:b/>
          <w:u w:val="single"/>
        </w:rPr>
      </w:pPr>
      <w:r w:rsidRPr="00221671">
        <w:rPr>
          <w:rFonts w:ascii="Calibri" w:hAnsi="Calibri" w:cs="Arial"/>
          <w:b/>
          <w:u w:val="single"/>
        </w:rPr>
        <w:br w:type="page"/>
      </w:r>
    </w:p>
    <w:p w:rsidR="00F67377" w:rsidRPr="002F2315" w:rsidRDefault="009859E9" w:rsidP="002F2315">
      <w:pPr>
        <w:spacing w:after="120" w:line="360" w:lineRule="auto"/>
        <w:rPr>
          <w:rFonts w:ascii="Calibri" w:hAnsi="Calibri" w:cs="Arial"/>
          <w:b/>
          <w:u w:val="single"/>
        </w:rPr>
      </w:pPr>
      <w:r w:rsidRPr="002F2315">
        <w:rPr>
          <w:rFonts w:ascii="Calibri" w:hAnsi="Calibri" w:cs="Arial"/>
          <w:b/>
          <w:u w:val="single"/>
        </w:rPr>
        <w:lastRenderedPageBreak/>
        <w:t>Question 2:</w:t>
      </w:r>
    </w:p>
    <w:p w:rsidR="00413F61" w:rsidRPr="002F2315" w:rsidRDefault="00413F61" w:rsidP="002F2315">
      <w:pPr>
        <w:pStyle w:val="Default"/>
        <w:spacing w:line="360" w:lineRule="auto"/>
        <w:rPr>
          <w:rFonts w:ascii="Calibri" w:hAnsi="Calibri"/>
        </w:rPr>
      </w:pPr>
      <w:r w:rsidRPr="002F2315">
        <w:rPr>
          <w:rFonts w:ascii="Calibri" w:hAnsi="Calibri"/>
        </w:rPr>
        <w:t xml:space="preserve">For how many customers has SoCalGas provided higher than standard delivery pressure services at or upstream of the customer’s utility meter pursuant to the provisions of SoCalGas’ Rule 2? </w:t>
      </w:r>
    </w:p>
    <w:p w:rsidR="00413F61" w:rsidRPr="002F2315" w:rsidRDefault="00413F61" w:rsidP="002F2315">
      <w:pPr>
        <w:pStyle w:val="Default"/>
        <w:spacing w:line="360" w:lineRule="auto"/>
        <w:rPr>
          <w:rFonts w:ascii="Calibri" w:hAnsi="Calibri"/>
        </w:rPr>
      </w:pPr>
    </w:p>
    <w:p w:rsidR="00413F61" w:rsidRPr="002F2315" w:rsidRDefault="00413F61" w:rsidP="002F2315">
      <w:pPr>
        <w:pStyle w:val="Default"/>
        <w:numPr>
          <w:ilvl w:val="0"/>
          <w:numId w:val="24"/>
        </w:numPr>
        <w:spacing w:line="360" w:lineRule="auto"/>
        <w:rPr>
          <w:rFonts w:ascii="Calibri" w:hAnsi="Calibri"/>
        </w:rPr>
      </w:pPr>
      <w:r w:rsidRPr="002F2315">
        <w:rPr>
          <w:rFonts w:ascii="Calibri" w:hAnsi="Calibri"/>
        </w:rPr>
        <w:t xml:space="preserve">If any, what was the reason claimed by each such customer for its request for higher than standard delivery pressure? </w:t>
      </w:r>
    </w:p>
    <w:p w:rsidR="00413F61" w:rsidRPr="002F2315" w:rsidRDefault="00413F61" w:rsidP="002F2315">
      <w:pPr>
        <w:pStyle w:val="Default"/>
        <w:numPr>
          <w:ilvl w:val="0"/>
          <w:numId w:val="24"/>
        </w:numPr>
        <w:spacing w:line="360" w:lineRule="auto"/>
        <w:rPr>
          <w:rFonts w:ascii="Calibri" w:hAnsi="Calibri"/>
        </w:rPr>
      </w:pPr>
      <w:r w:rsidRPr="002F2315">
        <w:rPr>
          <w:rFonts w:ascii="Calibri" w:hAnsi="Calibri"/>
        </w:rPr>
        <w:t xml:space="preserve">For each such customer, please provide the NAICS codes for its primary line of business. </w:t>
      </w:r>
    </w:p>
    <w:p w:rsidR="00413F61" w:rsidRPr="002F2315" w:rsidRDefault="00413F61" w:rsidP="002F2315">
      <w:pPr>
        <w:pStyle w:val="Default"/>
        <w:numPr>
          <w:ilvl w:val="0"/>
          <w:numId w:val="24"/>
        </w:numPr>
        <w:spacing w:line="360" w:lineRule="auto"/>
        <w:rPr>
          <w:rFonts w:ascii="Calibri" w:hAnsi="Calibri"/>
        </w:rPr>
      </w:pPr>
      <w:r w:rsidRPr="002F2315">
        <w:rPr>
          <w:rFonts w:ascii="Calibri" w:hAnsi="Calibri"/>
        </w:rPr>
        <w:t xml:space="preserve">For each such customer, what was the higher than standard delivery pressure provided by SoCalGas to the customer? </w:t>
      </w:r>
    </w:p>
    <w:p w:rsidR="009859E9" w:rsidRPr="002F2315" w:rsidRDefault="009859E9" w:rsidP="002F2315">
      <w:pPr>
        <w:spacing w:after="120" w:line="360" w:lineRule="auto"/>
        <w:rPr>
          <w:rFonts w:ascii="Calibri" w:hAnsi="Calibri" w:cs="Arial"/>
        </w:rPr>
      </w:pPr>
    </w:p>
    <w:p w:rsidR="009859E9" w:rsidRPr="002F2315" w:rsidRDefault="000B2D32" w:rsidP="002F2315">
      <w:pPr>
        <w:spacing w:after="120" w:line="360" w:lineRule="auto"/>
        <w:rPr>
          <w:rFonts w:ascii="Calibri" w:hAnsi="Calibri" w:cs="Arial"/>
          <w:b/>
          <w:u w:val="single"/>
        </w:rPr>
      </w:pPr>
      <w:r w:rsidRPr="002F2315">
        <w:rPr>
          <w:rFonts w:ascii="Calibri" w:hAnsi="Calibri" w:cs="Arial"/>
          <w:b/>
          <w:u w:val="single"/>
        </w:rPr>
        <w:t xml:space="preserve">Response 2: </w:t>
      </w:r>
    </w:p>
    <w:p w:rsidR="002055BD" w:rsidRPr="002F2315" w:rsidRDefault="00317ECB" w:rsidP="002F2315">
      <w:pPr>
        <w:spacing w:after="120" w:line="360" w:lineRule="auto"/>
        <w:rPr>
          <w:rFonts w:ascii="Calibri" w:hAnsi="Calibri" w:cs="Arial"/>
          <w:bCs/>
          <w:iCs/>
        </w:rPr>
      </w:pPr>
      <w:r w:rsidRPr="002F2315">
        <w:rPr>
          <w:rFonts w:ascii="Calibri" w:hAnsi="Calibri" w:cs="Arial"/>
          <w:bCs/>
          <w:iCs/>
        </w:rPr>
        <w:t xml:space="preserve">SoCalGas </w:t>
      </w:r>
      <w:r w:rsidR="000F5ECC" w:rsidRPr="002F2315">
        <w:rPr>
          <w:rFonts w:ascii="Calibri" w:hAnsi="Calibri" w:cs="Arial"/>
          <w:bCs/>
          <w:iCs/>
        </w:rPr>
        <w:t>provides</w:t>
      </w:r>
      <w:r w:rsidR="002055BD" w:rsidRPr="002F2315">
        <w:rPr>
          <w:rFonts w:ascii="Calibri" w:hAnsi="Calibri" w:cs="Arial"/>
          <w:bCs/>
          <w:iCs/>
        </w:rPr>
        <w:t xml:space="preserve"> higher than standard </w:t>
      </w:r>
      <w:r w:rsidR="005029CA">
        <w:rPr>
          <w:rFonts w:ascii="Calibri" w:hAnsi="Calibri" w:cs="Arial"/>
          <w:bCs/>
          <w:iCs/>
        </w:rPr>
        <w:t xml:space="preserve">delivery </w:t>
      </w:r>
      <w:r w:rsidR="002055BD" w:rsidRPr="002F2315">
        <w:rPr>
          <w:rFonts w:ascii="Calibri" w:hAnsi="Calibri" w:cs="Arial"/>
          <w:bCs/>
          <w:iCs/>
        </w:rPr>
        <w:t xml:space="preserve">pressure to </w:t>
      </w:r>
      <w:r w:rsidR="005029CA">
        <w:rPr>
          <w:rFonts w:ascii="Calibri" w:hAnsi="Calibri" w:cs="Arial"/>
          <w:bCs/>
          <w:iCs/>
        </w:rPr>
        <w:t>approximately 14,000</w:t>
      </w:r>
      <w:r w:rsidR="005029CA" w:rsidRPr="002F2315">
        <w:rPr>
          <w:rFonts w:ascii="Calibri" w:hAnsi="Calibri" w:cs="Arial"/>
          <w:bCs/>
          <w:iCs/>
        </w:rPr>
        <w:t xml:space="preserve"> </w:t>
      </w:r>
      <w:r w:rsidR="002055BD" w:rsidRPr="002F2315">
        <w:rPr>
          <w:rFonts w:ascii="Calibri" w:hAnsi="Calibri" w:cs="Arial"/>
          <w:bCs/>
          <w:iCs/>
        </w:rPr>
        <w:t xml:space="preserve">Commercial and Industrial (C&amp;I) customers under the terms specified by Section C of Rule 2.  </w:t>
      </w:r>
      <w:r w:rsidR="008B0035" w:rsidRPr="002F2315">
        <w:rPr>
          <w:rFonts w:ascii="Calibri" w:hAnsi="Calibri" w:cs="Arial"/>
          <w:bCs/>
          <w:iCs/>
        </w:rPr>
        <w:t xml:space="preserve"> </w:t>
      </w:r>
    </w:p>
    <w:p w:rsidR="002055BD" w:rsidRPr="002F2315" w:rsidRDefault="007117C9" w:rsidP="002F2315">
      <w:pPr>
        <w:numPr>
          <w:ilvl w:val="0"/>
          <w:numId w:val="21"/>
        </w:numPr>
        <w:tabs>
          <w:tab w:val="clear" w:pos="1680"/>
          <w:tab w:val="num" w:pos="720"/>
        </w:tabs>
        <w:spacing w:after="120" w:line="360" w:lineRule="auto"/>
        <w:ind w:left="720" w:hanging="360"/>
        <w:rPr>
          <w:rFonts w:ascii="Calibri" w:hAnsi="Calibri" w:cs="Arial"/>
          <w:bCs/>
          <w:iCs/>
        </w:rPr>
      </w:pPr>
      <w:r>
        <w:rPr>
          <w:rFonts w:ascii="Calibri" w:hAnsi="Calibri" w:cs="Arial"/>
          <w:bCs/>
          <w:iCs/>
        </w:rPr>
        <w:t>T</w:t>
      </w:r>
      <w:r w:rsidR="002055BD" w:rsidRPr="002F2315">
        <w:rPr>
          <w:rFonts w:ascii="Calibri" w:hAnsi="Calibri" w:cs="Arial"/>
          <w:bCs/>
          <w:iCs/>
        </w:rPr>
        <w:t>ypical reason</w:t>
      </w:r>
      <w:r w:rsidR="00D508B0" w:rsidRPr="002F2315">
        <w:rPr>
          <w:rFonts w:ascii="Calibri" w:hAnsi="Calibri" w:cs="Arial"/>
          <w:bCs/>
          <w:iCs/>
        </w:rPr>
        <w:t>s are</w:t>
      </w:r>
      <w:r w:rsidR="002055BD" w:rsidRPr="002F2315">
        <w:rPr>
          <w:rFonts w:ascii="Calibri" w:hAnsi="Calibri" w:cs="Arial"/>
          <w:bCs/>
          <w:iCs/>
        </w:rPr>
        <w:t xml:space="preserve"> that customers have end-use equipment which </w:t>
      </w:r>
      <w:r w:rsidR="005C66CF" w:rsidRPr="002F2315">
        <w:rPr>
          <w:rFonts w:ascii="Calibri" w:hAnsi="Calibri" w:cs="Arial"/>
          <w:bCs/>
          <w:iCs/>
        </w:rPr>
        <w:t xml:space="preserve">require </w:t>
      </w:r>
      <w:r w:rsidR="002055BD" w:rsidRPr="002F2315">
        <w:rPr>
          <w:rFonts w:ascii="Calibri" w:hAnsi="Calibri" w:cs="Arial"/>
          <w:bCs/>
          <w:iCs/>
        </w:rPr>
        <w:t xml:space="preserve">higher than standard </w:t>
      </w:r>
      <w:r w:rsidR="005C66CF" w:rsidRPr="002F2315">
        <w:rPr>
          <w:rFonts w:ascii="Calibri" w:hAnsi="Calibri" w:cs="Arial"/>
          <w:bCs/>
          <w:iCs/>
        </w:rPr>
        <w:t xml:space="preserve">natural gas </w:t>
      </w:r>
      <w:r w:rsidR="002055BD" w:rsidRPr="002F2315">
        <w:rPr>
          <w:rFonts w:ascii="Calibri" w:hAnsi="Calibri" w:cs="Arial"/>
          <w:bCs/>
          <w:iCs/>
        </w:rPr>
        <w:t>pressure (greater than 8 inches water column)</w:t>
      </w:r>
      <w:r w:rsidR="00D508B0" w:rsidRPr="002F2315">
        <w:rPr>
          <w:rFonts w:ascii="Calibri" w:hAnsi="Calibri" w:cs="Arial"/>
          <w:bCs/>
          <w:iCs/>
        </w:rPr>
        <w:t xml:space="preserve"> and/or that their gas volume requirements are so large that standard delivery pressure is not practical</w:t>
      </w:r>
      <w:r w:rsidR="002055BD" w:rsidRPr="002F2315">
        <w:rPr>
          <w:rFonts w:ascii="Calibri" w:hAnsi="Calibri" w:cs="Arial"/>
          <w:bCs/>
          <w:iCs/>
        </w:rPr>
        <w:t xml:space="preserve">.   </w:t>
      </w:r>
    </w:p>
    <w:p w:rsidR="002055BD" w:rsidRPr="00C232EE" w:rsidRDefault="00350597" w:rsidP="002F2315">
      <w:pPr>
        <w:numPr>
          <w:ilvl w:val="0"/>
          <w:numId w:val="21"/>
        </w:numPr>
        <w:tabs>
          <w:tab w:val="clear" w:pos="1680"/>
          <w:tab w:val="num" w:pos="720"/>
        </w:tabs>
        <w:spacing w:after="120" w:line="360" w:lineRule="auto"/>
        <w:ind w:left="720" w:hanging="360"/>
        <w:rPr>
          <w:rFonts w:ascii="Calibri" w:hAnsi="Calibri" w:cs="Arial"/>
          <w:u w:val="single"/>
        </w:rPr>
      </w:pPr>
      <w:r w:rsidRPr="00C232EE">
        <w:rPr>
          <w:rFonts w:ascii="Calibri" w:hAnsi="Calibri" w:cs="Arial"/>
          <w:bCs/>
          <w:iCs/>
        </w:rPr>
        <w:t>A</w:t>
      </w:r>
      <w:r w:rsidR="00D508B0" w:rsidRPr="00C232EE">
        <w:rPr>
          <w:rFonts w:ascii="Calibri" w:hAnsi="Calibri" w:cs="Arial"/>
          <w:bCs/>
          <w:iCs/>
        </w:rPr>
        <w:t>ny C&amp;I customer meeting the requirements of Rule 2 Section C is eligible</w:t>
      </w:r>
      <w:r w:rsidRPr="00C232EE">
        <w:rPr>
          <w:rFonts w:ascii="Calibri" w:hAnsi="Calibri" w:cs="Arial"/>
          <w:bCs/>
          <w:iCs/>
        </w:rPr>
        <w:t xml:space="preserve"> for higher than standard pressure</w:t>
      </w:r>
      <w:r w:rsidR="00D508B0" w:rsidRPr="00C232EE">
        <w:rPr>
          <w:rFonts w:ascii="Calibri" w:hAnsi="Calibri" w:cs="Arial"/>
          <w:bCs/>
          <w:iCs/>
        </w:rPr>
        <w:t>.</w:t>
      </w:r>
      <w:r w:rsidR="007117C9">
        <w:rPr>
          <w:rFonts w:ascii="Calibri" w:hAnsi="Calibri" w:cs="Arial"/>
          <w:bCs/>
          <w:iCs/>
        </w:rPr>
        <w:t xml:space="preserve">  SoCalGas objects to providing NAICS codes for each customer due to customer confidentiality</w:t>
      </w:r>
      <w:r w:rsidR="007117C9" w:rsidRPr="007117C9">
        <w:rPr>
          <w:rFonts w:ascii="Calibri" w:hAnsi="Calibri" w:cs="Arial"/>
          <w:bCs/>
          <w:iCs/>
        </w:rPr>
        <w:t>.</w:t>
      </w:r>
    </w:p>
    <w:p w:rsidR="00355086" w:rsidRPr="00C232EE" w:rsidRDefault="005029CA" w:rsidP="002F2315">
      <w:pPr>
        <w:numPr>
          <w:ilvl w:val="0"/>
          <w:numId w:val="21"/>
        </w:numPr>
        <w:tabs>
          <w:tab w:val="clear" w:pos="1680"/>
          <w:tab w:val="num" w:pos="720"/>
        </w:tabs>
        <w:spacing w:after="120" w:line="360" w:lineRule="auto"/>
        <w:ind w:left="720" w:hanging="360"/>
        <w:rPr>
          <w:rFonts w:ascii="Calibri" w:hAnsi="Calibri" w:cs="Arial"/>
          <w:u w:val="single"/>
        </w:rPr>
      </w:pPr>
      <w:r>
        <w:rPr>
          <w:rFonts w:ascii="Calibri" w:hAnsi="Calibri" w:cs="Arial"/>
          <w:bCs/>
          <w:iCs/>
        </w:rPr>
        <w:t>Over 9,000</w:t>
      </w:r>
      <w:r w:rsidRPr="00C232EE">
        <w:rPr>
          <w:rFonts w:ascii="Calibri" w:hAnsi="Calibri" w:cs="Arial"/>
          <w:bCs/>
          <w:iCs/>
        </w:rPr>
        <w:t xml:space="preserve"> </w:t>
      </w:r>
      <w:proofErr w:type="gramStart"/>
      <w:r w:rsidR="00D508B0" w:rsidRPr="00C232EE">
        <w:rPr>
          <w:rFonts w:ascii="Calibri" w:hAnsi="Calibri" w:cs="Arial"/>
          <w:bCs/>
          <w:iCs/>
        </w:rPr>
        <w:t>C&amp;I</w:t>
      </w:r>
      <w:proofErr w:type="gramEnd"/>
      <w:r w:rsidR="00D508B0" w:rsidRPr="00C232EE">
        <w:rPr>
          <w:rFonts w:ascii="Calibri" w:hAnsi="Calibri" w:cs="Arial"/>
          <w:bCs/>
          <w:iCs/>
        </w:rPr>
        <w:t xml:space="preserve"> </w:t>
      </w:r>
      <w:r w:rsidR="005C66CF" w:rsidRPr="00C232EE">
        <w:rPr>
          <w:rFonts w:ascii="Calibri" w:hAnsi="Calibri" w:cs="Arial"/>
          <w:bCs/>
          <w:iCs/>
        </w:rPr>
        <w:t xml:space="preserve">customers </w:t>
      </w:r>
      <w:r w:rsidR="000863E0">
        <w:rPr>
          <w:rFonts w:ascii="Calibri" w:hAnsi="Calibri" w:cs="Arial"/>
          <w:bCs/>
          <w:iCs/>
        </w:rPr>
        <w:t xml:space="preserve">who are </w:t>
      </w:r>
      <w:r>
        <w:rPr>
          <w:rFonts w:ascii="Calibri" w:hAnsi="Calibri" w:cs="Arial"/>
          <w:bCs/>
          <w:iCs/>
        </w:rPr>
        <w:t>provided</w:t>
      </w:r>
      <w:r w:rsidR="000863E0">
        <w:rPr>
          <w:rFonts w:ascii="Calibri" w:hAnsi="Calibri" w:cs="Arial"/>
          <w:bCs/>
          <w:iCs/>
        </w:rPr>
        <w:t xml:space="preserve"> </w:t>
      </w:r>
      <w:r w:rsidR="00350597" w:rsidRPr="00C232EE">
        <w:rPr>
          <w:rFonts w:ascii="Calibri" w:hAnsi="Calibri" w:cs="Arial"/>
          <w:bCs/>
          <w:iCs/>
        </w:rPr>
        <w:t>higher than standard</w:t>
      </w:r>
      <w:r>
        <w:rPr>
          <w:rFonts w:ascii="Calibri" w:hAnsi="Calibri" w:cs="Arial"/>
          <w:bCs/>
          <w:iCs/>
        </w:rPr>
        <w:t xml:space="preserve"> delivery</w:t>
      </w:r>
      <w:r w:rsidR="00350597" w:rsidRPr="00C232EE">
        <w:rPr>
          <w:rFonts w:ascii="Calibri" w:hAnsi="Calibri" w:cs="Arial"/>
          <w:bCs/>
          <w:iCs/>
        </w:rPr>
        <w:t xml:space="preserve"> pressure </w:t>
      </w:r>
      <w:r w:rsidR="005C66CF" w:rsidRPr="00C232EE">
        <w:rPr>
          <w:rFonts w:ascii="Calibri" w:hAnsi="Calibri" w:cs="Arial"/>
          <w:bCs/>
          <w:iCs/>
        </w:rPr>
        <w:t xml:space="preserve">receive natural gas at 5 psig.   </w:t>
      </w:r>
      <w:r>
        <w:rPr>
          <w:rFonts w:ascii="Calibri" w:hAnsi="Calibri" w:cs="Arial"/>
          <w:bCs/>
          <w:iCs/>
        </w:rPr>
        <w:t>Almost 5,000</w:t>
      </w:r>
      <w:r w:rsidR="00350597" w:rsidRPr="00C232EE">
        <w:rPr>
          <w:rFonts w:ascii="Calibri" w:hAnsi="Calibri" w:cs="Arial"/>
          <w:bCs/>
          <w:iCs/>
        </w:rPr>
        <w:t xml:space="preserve"> other </w:t>
      </w:r>
      <w:r>
        <w:rPr>
          <w:rFonts w:ascii="Calibri" w:hAnsi="Calibri" w:cs="Arial"/>
          <w:bCs/>
          <w:iCs/>
        </w:rPr>
        <w:t xml:space="preserve">C&amp;I </w:t>
      </w:r>
      <w:r w:rsidR="005C66CF" w:rsidRPr="00C232EE">
        <w:rPr>
          <w:rFonts w:ascii="Calibri" w:hAnsi="Calibri" w:cs="Arial"/>
          <w:bCs/>
          <w:iCs/>
        </w:rPr>
        <w:t>customers</w:t>
      </w:r>
      <w:r>
        <w:rPr>
          <w:rFonts w:ascii="Calibri" w:hAnsi="Calibri" w:cs="Arial"/>
          <w:bCs/>
          <w:iCs/>
        </w:rPr>
        <w:t xml:space="preserve"> </w:t>
      </w:r>
      <w:r w:rsidR="000863E0">
        <w:rPr>
          <w:rFonts w:ascii="Calibri" w:hAnsi="Calibri" w:cs="Arial"/>
          <w:bCs/>
          <w:iCs/>
        </w:rPr>
        <w:t xml:space="preserve">who are </w:t>
      </w:r>
      <w:r>
        <w:rPr>
          <w:rFonts w:ascii="Calibri" w:hAnsi="Calibri" w:cs="Arial"/>
          <w:bCs/>
          <w:iCs/>
        </w:rPr>
        <w:t>provided</w:t>
      </w:r>
      <w:r w:rsidR="000863E0">
        <w:rPr>
          <w:rFonts w:ascii="Calibri" w:hAnsi="Calibri" w:cs="Arial"/>
          <w:bCs/>
          <w:iCs/>
        </w:rPr>
        <w:t xml:space="preserve"> </w:t>
      </w:r>
      <w:r>
        <w:rPr>
          <w:rFonts w:ascii="Calibri" w:hAnsi="Calibri" w:cs="Arial"/>
          <w:bCs/>
          <w:iCs/>
        </w:rPr>
        <w:t>higher than standard delivery pressure</w:t>
      </w:r>
      <w:r w:rsidR="005C66CF" w:rsidRPr="00C232EE">
        <w:rPr>
          <w:rFonts w:ascii="Calibri" w:hAnsi="Calibri" w:cs="Arial"/>
          <w:bCs/>
          <w:iCs/>
        </w:rPr>
        <w:t xml:space="preserve"> receive </w:t>
      </w:r>
      <w:r>
        <w:rPr>
          <w:rFonts w:ascii="Calibri" w:hAnsi="Calibri" w:cs="Arial"/>
          <w:bCs/>
          <w:iCs/>
        </w:rPr>
        <w:t xml:space="preserve">natural </w:t>
      </w:r>
      <w:r w:rsidR="005C66CF" w:rsidRPr="00C232EE">
        <w:rPr>
          <w:rFonts w:ascii="Calibri" w:hAnsi="Calibri" w:cs="Arial"/>
          <w:bCs/>
          <w:iCs/>
        </w:rPr>
        <w:t xml:space="preserve">gas at </w:t>
      </w:r>
      <w:r w:rsidR="00D508B0" w:rsidRPr="00C232EE">
        <w:rPr>
          <w:rFonts w:ascii="Calibri" w:hAnsi="Calibri" w:cs="Arial"/>
          <w:bCs/>
          <w:iCs/>
        </w:rPr>
        <w:t>pressure</w:t>
      </w:r>
      <w:r>
        <w:rPr>
          <w:rFonts w:ascii="Calibri" w:hAnsi="Calibri" w:cs="Arial"/>
          <w:bCs/>
          <w:iCs/>
        </w:rPr>
        <w:t xml:space="preserve"> greater than 5 psig</w:t>
      </w:r>
      <w:r w:rsidR="00D508B0" w:rsidRPr="00C232EE">
        <w:rPr>
          <w:rFonts w:ascii="Calibri" w:hAnsi="Calibri" w:cs="Arial"/>
          <w:bCs/>
          <w:iCs/>
        </w:rPr>
        <w:t xml:space="preserve"> </w:t>
      </w:r>
      <w:r w:rsidR="00462A0B" w:rsidRPr="00C232EE">
        <w:rPr>
          <w:rFonts w:ascii="Calibri" w:hAnsi="Calibri" w:cs="Arial"/>
          <w:bCs/>
          <w:iCs/>
        </w:rPr>
        <w:t>or</w:t>
      </w:r>
      <w:r w:rsidR="00D508B0" w:rsidRPr="00C232EE">
        <w:rPr>
          <w:rFonts w:ascii="Calibri" w:hAnsi="Calibri" w:cs="Arial"/>
          <w:bCs/>
          <w:iCs/>
        </w:rPr>
        <w:t xml:space="preserve"> at </w:t>
      </w:r>
      <w:r w:rsidR="005C66CF" w:rsidRPr="00C232EE">
        <w:rPr>
          <w:rFonts w:ascii="Calibri" w:hAnsi="Calibri" w:cs="Arial"/>
          <w:bCs/>
          <w:iCs/>
        </w:rPr>
        <w:t>fluctuating line pressure</w:t>
      </w:r>
      <w:r w:rsidR="00D508B0" w:rsidRPr="00C232EE">
        <w:rPr>
          <w:rFonts w:ascii="Calibri" w:hAnsi="Calibri" w:cs="Arial"/>
          <w:bCs/>
          <w:iCs/>
        </w:rPr>
        <w:t xml:space="preserve"> on an as-available basis</w:t>
      </w:r>
      <w:r w:rsidR="005C66CF" w:rsidRPr="00C232EE">
        <w:rPr>
          <w:rFonts w:ascii="Calibri" w:hAnsi="Calibri" w:cs="Arial"/>
          <w:bCs/>
          <w:iCs/>
        </w:rPr>
        <w:t xml:space="preserve">.   </w:t>
      </w:r>
    </w:p>
    <w:p w:rsidR="00191F68" w:rsidRDefault="00191F68">
      <w:pPr>
        <w:rPr>
          <w:rFonts w:ascii="Calibri" w:hAnsi="Calibri" w:cs="Arial"/>
          <w:b/>
          <w:u w:val="single"/>
        </w:rPr>
      </w:pPr>
      <w:r>
        <w:rPr>
          <w:rFonts w:ascii="Calibri" w:hAnsi="Calibri" w:cs="Arial"/>
          <w:b/>
          <w:u w:val="single"/>
        </w:rPr>
        <w:br w:type="page"/>
      </w:r>
    </w:p>
    <w:p w:rsidR="000B5948" w:rsidRPr="00221671" w:rsidRDefault="000B5948" w:rsidP="00221671">
      <w:pPr>
        <w:spacing w:after="120" w:line="360" w:lineRule="auto"/>
        <w:rPr>
          <w:rFonts w:ascii="Calibri" w:hAnsi="Calibri" w:cs="Arial"/>
          <w:b/>
          <w:u w:val="single"/>
        </w:rPr>
      </w:pPr>
    </w:p>
    <w:p w:rsidR="000B2D32" w:rsidRPr="008E4C93" w:rsidRDefault="000B2D32" w:rsidP="008E4C93">
      <w:pPr>
        <w:spacing w:after="120" w:line="360" w:lineRule="auto"/>
        <w:rPr>
          <w:rFonts w:ascii="Calibri" w:hAnsi="Calibri" w:cs="Arial"/>
          <w:b/>
          <w:u w:val="single"/>
        </w:rPr>
      </w:pPr>
      <w:r w:rsidRPr="008E4C93">
        <w:rPr>
          <w:rFonts w:ascii="Calibri" w:hAnsi="Calibri" w:cs="Arial"/>
          <w:b/>
          <w:u w:val="single"/>
        </w:rPr>
        <w:t>Question 3</w:t>
      </w:r>
      <w:r w:rsidR="00350597" w:rsidRPr="008E4C93">
        <w:rPr>
          <w:rFonts w:ascii="Calibri" w:hAnsi="Calibri" w:cs="Arial"/>
          <w:b/>
          <w:u w:val="single"/>
        </w:rPr>
        <w:t xml:space="preserve"> </w:t>
      </w:r>
    </w:p>
    <w:p w:rsidR="00DF1CD7" w:rsidRPr="008E4C93" w:rsidRDefault="00DF1CD7" w:rsidP="008E4C93">
      <w:pPr>
        <w:pStyle w:val="Default"/>
        <w:spacing w:line="360" w:lineRule="auto"/>
        <w:rPr>
          <w:rFonts w:ascii="Calibri" w:hAnsi="Calibri"/>
        </w:rPr>
      </w:pPr>
      <w:r w:rsidRPr="008E4C93">
        <w:rPr>
          <w:rFonts w:ascii="Calibri" w:hAnsi="Calibri"/>
        </w:rPr>
        <w:t xml:space="preserve">In his rebuttal testimony, SoCalGas witness Reyes says: “DRA claims that SoCalGas will be piggybacking on the insurance policy that ratepayers are funding for other purposes. DRA, however, neglects to recognize that SoCalGas has accounted for and charged the Compression Service Tariff customers specifically for insurance costs. An allocation of the cost of providing insurance coverage has been charged to the specific customer through the Public Liability and Property Damage (‘PLPD’) overhead. The PLPD overhead represents the cost of expected payments to third parties for liability and property damage claims submitted to the company plus the cost of insurance premiums to cover claims over a certain dollar limit. As such, SoCalGas’ accounting practices account for and charge Compression services Tariff customers for insurance coverage.” (Reyes Rebuttal Testimony, page 6). </w:t>
      </w:r>
    </w:p>
    <w:p w:rsidR="00DF1CD7" w:rsidRPr="008E4C93" w:rsidRDefault="00DF1CD7" w:rsidP="008E4C93">
      <w:pPr>
        <w:pStyle w:val="Default"/>
        <w:spacing w:line="360" w:lineRule="auto"/>
        <w:rPr>
          <w:rFonts w:ascii="Calibri" w:hAnsi="Calibri"/>
        </w:rPr>
      </w:pPr>
    </w:p>
    <w:p w:rsidR="00DF1CD7" w:rsidRPr="008E4C93" w:rsidRDefault="00DF1CD7" w:rsidP="008E4C93">
      <w:pPr>
        <w:pStyle w:val="Default"/>
        <w:numPr>
          <w:ilvl w:val="0"/>
          <w:numId w:val="25"/>
        </w:numPr>
        <w:spacing w:line="360" w:lineRule="auto"/>
        <w:rPr>
          <w:rFonts w:ascii="Calibri" w:hAnsi="Calibri"/>
        </w:rPr>
      </w:pPr>
      <w:r w:rsidRPr="008E4C93">
        <w:rPr>
          <w:rFonts w:ascii="Calibri" w:hAnsi="Calibri"/>
        </w:rPr>
        <w:t xml:space="preserve">Does the cited insurance coverage compensate SoCalGas for the loss of economic value of compression services equipment that may result (a) if the Compression Services Customer becomes insolvent or files for bankruptcy during the term of its agreement with SoCalGas and (b) where that loss of economic value is greater than “…the uncollectible revenue charge and contingencies imbedded in the rate?” (Reed Rebuttal Testimony, page 2, lines 17-18) </w:t>
      </w:r>
    </w:p>
    <w:p w:rsidR="00DF1CD7" w:rsidRPr="008E4C93" w:rsidRDefault="00DF1CD7" w:rsidP="008E4C93">
      <w:pPr>
        <w:pStyle w:val="Default"/>
        <w:numPr>
          <w:ilvl w:val="0"/>
          <w:numId w:val="25"/>
        </w:numPr>
        <w:spacing w:line="360" w:lineRule="auto"/>
        <w:rPr>
          <w:rFonts w:ascii="Calibri" w:hAnsi="Calibri"/>
        </w:rPr>
      </w:pPr>
      <w:r w:rsidRPr="008E4C93">
        <w:rPr>
          <w:rFonts w:ascii="Calibri" w:hAnsi="Calibri"/>
        </w:rPr>
        <w:t xml:space="preserve">If not, who bears the costs associated with this loss of economic value, SoCalGas’ non-participating ratepayers or SoCalGas’ shareholders? </w:t>
      </w:r>
    </w:p>
    <w:p w:rsidR="000B2D32" w:rsidRPr="008E4C93" w:rsidRDefault="007D7884" w:rsidP="008E4C93">
      <w:pPr>
        <w:spacing w:after="120" w:line="360" w:lineRule="auto"/>
        <w:rPr>
          <w:rFonts w:ascii="Calibri" w:hAnsi="Calibri" w:cs="Arial"/>
        </w:rPr>
      </w:pPr>
      <w:r>
        <w:rPr>
          <w:rFonts w:ascii="Calibri" w:hAnsi="Calibri" w:cs="Arial"/>
        </w:rPr>
        <w:br w:type="page"/>
      </w:r>
    </w:p>
    <w:p w:rsidR="00721BB9" w:rsidRDefault="00721BB9" w:rsidP="008E4C93">
      <w:pPr>
        <w:spacing w:after="120" w:line="360" w:lineRule="auto"/>
        <w:rPr>
          <w:rFonts w:ascii="Calibri" w:hAnsi="Calibri" w:cs="Arial"/>
          <w:b/>
          <w:u w:val="single"/>
        </w:rPr>
      </w:pPr>
    </w:p>
    <w:p w:rsidR="000B2D32" w:rsidRPr="008E4C93" w:rsidRDefault="000B2D32" w:rsidP="008E4C93">
      <w:pPr>
        <w:spacing w:after="120" w:line="360" w:lineRule="auto"/>
        <w:rPr>
          <w:rFonts w:ascii="Calibri" w:hAnsi="Calibri" w:cs="Arial"/>
          <w:b/>
          <w:u w:val="single"/>
        </w:rPr>
      </w:pPr>
      <w:r w:rsidRPr="008E4C93">
        <w:rPr>
          <w:rFonts w:ascii="Calibri" w:hAnsi="Calibri" w:cs="Arial"/>
          <w:b/>
          <w:u w:val="single"/>
        </w:rPr>
        <w:t>Response 3</w:t>
      </w:r>
    </w:p>
    <w:p w:rsidR="000B2D32" w:rsidRDefault="000B2D32" w:rsidP="00221671">
      <w:pPr>
        <w:spacing w:after="120" w:line="360" w:lineRule="auto"/>
        <w:rPr>
          <w:rFonts w:ascii="Calibri" w:hAnsi="Calibri" w:cs="Arial"/>
          <w:b/>
          <w:u w:val="single"/>
        </w:rPr>
      </w:pPr>
    </w:p>
    <w:p w:rsidR="000B2D32" w:rsidRPr="00191F68" w:rsidRDefault="0095411D" w:rsidP="00221671">
      <w:pPr>
        <w:spacing w:after="120" w:line="360" w:lineRule="auto"/>
        <w:rPr>
          <w:rFonts w:asciiTheme="minorHAnsi" w:hAnsiTheme="minorHAnsi" w:cstheme="minorHAnsi"/>
          <w:b/>
          <w:u w:val="single"/>
        </w:rPr>
      </w:pPr>
      <w:r w:rsidRPr="00191F68">
        <w:rPr>
          <w:rFonts w:asciiTheme="minorHAnsi" w:hAnsiTheme="minorHAnsi" w:cstheme="minorHAnsi"/>
        </w:rPr>
        <w:t>SoCalGas’ Public Liability and Property Damage (“PLPD”) overhead does not cover</w:t>
      </w:r>
      <w:r w:rsidR="00191F68">
        <w:rPr>
          <w:rFonts w:asciiTheme="minorHAnsi" w:hAnsiTheme="minorHAnsi" w:cstheme="minorHAnsi"/>
        </w:rPr>
        <w:t xml:space="preserve"> </w:t>
      </w:r>
      <w:r w:rsidRPr="00191F68">
        <w:rPr>
          <w:rFonts w:asciiTheme="minorHAnsi" w:hAnsiTheme="minorHAnsi" w:cstheme="minorHAnsi"/>
        </w:rPr>
        <w:t xml:space="preserve">economic loss if a Compression Services Customer becomes insolvent or files for bankruptcy.   If a Compression Services Tariff customer files for bankruptcy and is unable to pay for the infrastructure installed on its behalf, SoCalGas will first exhaust all commercial and legal remedies to collect the remaining balance due and the required costs to remove and redeploy the asset from the customer premises.  </w:t>
      </w:r>
      <w:proofErr w:type="gramStart"/>
      <w:r w:rsidRPr="00191F68">
        <w:rPr>
          <w:rFonts w:asciiTheme="minorHAnsi" w:hAnsiTheme="minorHAnsi" w:cstheme="minorHAnsi"/>
        </w:rPr>
        <w:t>If not redeployed the asset will be retired.</w:t>
      </w:r>
      <w:proofErr w:type="gramEnd"/>
      <w:r w:rsidRPr="00191F68">
        <w:rPr>
          <w:rFonts w:asciiTheme="minorHAnsi" w:hAnsiTheme="minorHAnsi" w:cstheme="minorHAnsi"/>
        </w:rPr>
        <w:t xml:space="preserve">  SCG shareholders bear the economic loss between GRCs until the </w:t>
      </w:r>
      <w:r w:rsidR="00191F68" w:rsidRPr="00191F68">
        <w:rPr>
          <w:rFonts w:asciiTheme="minorHAnsi" w:hAnsiTheme="minorHAnsi" w:cstheme="minorHAnsi"/>
        </w:rPr>
        <w:t>undepreciated capital</w:t>
      </w:r>
      <w:r w:rsidRPr="00191F68">
        <w:rPr>
          <w:rFonts w:asciiTheme="minorHAnsi" w:hAnsiTheme="minorHAnsi" w:cstheme="minorHAnsi"/>
        </w:rPr>
        <w:t xml:space="preserve"> invested is rolled-in to ratebase along with miscellaneous revenues forecasts associated with compression services tariff for approval in the subsequent GRC.</w:t>
      </w:r>
    </w:p>
    <w:p w:rsidR="000B2D32" w:rsidRPr="00221671" w:rsidRDefault="000B2D32" w:rsidP="00221671">
      <w:pPr>
        <w:spacing w:after="120" w:line="360" w:lineRule="auto"/>
        <w:rPr>
          <w:rFonts w:ascii="Calibri" w:hAnsi="Calibri" w:cs="Arial"/>
          <w:b/>
          <w:u w:val="single"/>
        </w:rPr>
      </w:pPr>
    </w:p>
    <w:p w:rsidR="000B2D32" w:rsidRPr="00221671" w:rsidRDefault="000B2D32" w:rsidP="00221671">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191F68" w:rsidRDefault="00191F68" w:rsidP="008E4C93">
      <w:pPr>
        <w:spacing w:after="120" w:line="360" w:lineRule="auto"/>
        <w:rPr>
          <w:rFonts w:ascii="Calibri" w:hAnsi="Calibri" w:cs="Arial"/>
          <w:b/>
          <w:u w:val="single"/>
        </w:rPr>
      </w:pPr>
    </w:p>
    <w:p w:rsidR="00721BB9" w:rsidRDefault="00721BB9" w:rsidP="008E4C93">
      <w:pPr>
        <w:spacing w:after="120" w:line="360" w:lineRule="auto"/>
        <w:rPr>
          <w:rFonts w:ascii="Calibri" w:hAnsi="Calibri" w:cs="Arial"/>
          <w:b/>
          <w:u w:val="single"/>
        </w:rPr>
      </w:pPr>
    </w:p>
    <w:p w:rsidR="000B2D32" w:rsidRPr="008E4C93" w:rsidRDefault="000B2D32" w:rsidP="008E4C93">
      <w:pPr>
        <w:spacing w:after="120" w:line="360" w:lineRule="auto"/>
        <w:rPr>
          <w:rFonts w:ascii="Calibri" w:hAnsi="Calibri" w:cs="Arial"/>
          <w:b/>
          <w:u w:val="single"/>
        </w:rPr>
      </w:pPr>
      <w:r w:rsidRPr="008E4C93">
        <w:rPr>
          <w:rFonts w:ascii="Calibri" w:hAnsi="Calibri" w:cs="Arial"/>
          <w:b/>
          <w:u w:val="single"/>
        </w:rPr>
        <w:t>Question 4</w:t>
      </w:r>
    </w:p>
    <w:p w:rsidR="000B2D32" w:rsidRPr="008E4C93" w:rsidRDefault="00DF1CD7" w:rsidP="008E4C93">
      <w:pPr>
        <w:spacing w:after="120" w:line="360" w:lineRule="auto"/>
        <w:rPr>
          <w:rFonts w:ascii="Calibri" w:hAnsi="Calibri" w:cs="Arial"/>
          <w:b/>
          <w:u w:val="single"/>
        </w:rPr>
      </w:pPr>
      <w:r w:rsidRPr="008E4C93">
        <w:rPr>
          <w:rFonts w:ascii="Calibri" w:hAnsi="Calibri" w:cs="Arial"/>
        </w:rPr>
        <w:t>What is the specific nature of the information that was redacted from the Rebuttal Testimony of Jeff Reed?</w:t>
      </w:r>
    </w:p>
    <w:p w:rsidR="00191F68" w:rsidRDefault="00191F68" w:rsidP="008E4C93">
      <w:pPr>
        <w:spacing w:after="120" w:line="360" w:lineRule="auto"/>
        <w:rPr>
          <w:rFonts w:ascii="Calibri" w:hAnsi="Calibri" w:cs="Arial"/>
          <w:b/>
          <w:u w:val="single"/>
        </w:rPr>
      </w:pPr>
    </w:p>
    <w:p w:rsidR="009A5932" w:rsidRPr="008E4C93" w:rsidRDefault="00221671" w:rsidP="008E4C93">
      <w:pPr>
        <w:spacing w:after="120" w:line="360" w:lineRule="auto"/>
        <w:rPr>
          <w:rFonts w:ascii="Calibri" w:hAnsi="Calibri" w:cs="Arial"/>
          <w:b/>
          <w:u w:val="single"/>
        </w:rPr>
      </w:pPr>
      <w:r w:rsidRPr="008E4C93">
        <w:rPr>
          <w:rFonts w:ascii="Calibri" w:hAnsi="Calibri" w:cs="Arial"/>
          <w:b/>
          <w:u w:val="single"/>
        </w:rPr>
        <w:t>Response 4</w:t>
      </w:r>
    </w:p>
    <w:p w:rsidR="009A5932" w:rsidRPr="008E4C93" w:rsidRDefault="00350597" w:rsidP="008E4C93">
      <w:pPr>
        <w:spacing w:after="120" w:line="360" w:lineRule="auto"/>
        <w:rPr>
          <w:rFonts w:ascii="Calibri" w:hAnsi="Calibri" w:cs="Arial"/>
        </w:rPr>
      </w:pPr>
      <w:r w:rsidRPr="008E4C93">
        <w:rPr>
          <w:rFonts w:ascii="Calibri" w:hAnsi="Calibri" w:cs="Arial"/>
        </w:rPr>
        <w:t>Exhibit 1</w:t>
      </w:r>
      <w:r w:rsidR="00D13CE2" w:rsidRPr="008E4C93">
        <w:rPr>
          <w:rFonts w:ascii="Calibri" w:hAnsi="Calibri" w:cs="Arial"/>
        </w:rPr>
        <w:t xml:space="preserve">, redacted from Mr. Reed’s rebuttal testimony, contains confidential customer information </w:t>
      </w:r>
      <w:r w:rsidR="000863E0">
        <w:rPr>
          <w:rFonts w:ascii="Calibri" w:hAnsi="Calibri" w:cs="Arial"/>
        </w:rPr>
        <w:t xml:space="preserve">regarding </w:t>
      </w:r>
      <w:r w:rsidR="00711436">
        <w:rPr>
          <w:rFonts w:ascii="Calibri" w:hAnsi="Calibri" w:cs="Arial"/>
        </w:rPr>
        <w:t>t</w:t>
      </w:r>
      <w:r w:rsidR="00B17600">
        <w:rPr>
          <w:rFonts w:ascii="Calibri" w:hAnsi="Calibri" w:cs="Arial"/>
        </w:rPr>
        <w:t xml:space="preserve">he share of current throughput for NGV applications </w:t>
      </w:r>
      <w:r w:rsidR="00711436">
        <w:rPr>
          <w:rFonts w:ascii="Calibri" w:hAnsi="Calibri" w:cs="Arial"/>
        </w:rPr>
        <w:t>provided Clean Energy and Integrys</w:t>
      </w:r>
      <w:r w:rsidR="00D13CE2" w:rsidRPr="008E4C93">
        <w:rPr>
          <w:rFonts w:ascii="Calibri" w:hAnsi="Calibri" w:cs="Arial"/>
        </w:rPr>
        <w:t xml:space="preserve">.   </w:t>
      </w:r>
      <w:r w:rsidRPr="008E4C93">
        <w:rPr>
          <w:rFonts w:ascii="Calibri" w:hAnsi="Calibri" w:cs="Arial"/>
        </w:rPr>
        <w:t xml:space="preserve">  </w:t>
      </w:r>
    </w:p>
    <w:p w:rsidR="009A5932" w:rsidRPr="00221671" w:rsidRDefault="009A5932" w:rsidP="00221671">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191F68" w:rsidRDefault="00191F68" w:rsidP="00C232EE">
      <w:pPr>
        <w:spacing w:after="120" w:line="360" w:lineRule="auto"/>
        <w:rPr>
          <w:rFonts w:ascii="Calibri" w:hAnsi="Calibri" w:cs="Arial"/>
          <w:b/>
          <w:u w:val="single"/>
        </w:rPr>
      </w:pPr>
    </w:p>
    <w:p w:rsidR="009A5932" w:rsidRPr="00C232EE" w:rsidRDefault="009A5932" w:rsidP="00C232EE">
      <w:pPr>
        <w:spacing w:after="120" w:line="360" w:lineRule="auto"/>
        <w:rPr>
          <w:rFonts w:ascii="Calibri" w:hAnsi="Calibri" w:cs="Arial"/>
          <w:b/>
          <w:u w:val="single"/>
        </w:rPr>
      </w:pPr>
      <w:r w:rsidRPr="00C232EE">
        <w:rPr>
          <w:rFonts w:ascii="Calibri" w:hAnsi="Calibri" w:cs="Arial"/>
          <w:b/>
          <w:u w:val="single"/>
        </w:rPr>
        <w:t>Question 5</w:t>
      </w:r>
    </w:p>
    <w:p w:rsidR="009A5932" w:rsidRPr="00C232EE" w:rsidRDefault="00DF1CD7" w:rsidP="00C232EE">
      <w:pPr>
        <w:spacing w:after="120" w:line="360" w:lineRule="auto"/>
        <w:rPr>
          <w:rFonts w:ascii="Calibri" w:hAnsi="Calibri"/>
        </w:rPr>
      </w:pPr>
      <w:r w:rsidRPr="00C232EE">
        <w:rPr>
          <w:rFonts w:ascii="Calibri" w:hAnsi="Calibri"/>
        </w:rPr>
        <w:t>In SoCalGas’ Rule 2, Section C, is the intended “point of delivery” the utility meter?</w:t>
      </w:r>
    </w:p>
    <w:p w:rsidR="009A5932" w:rsidRPr="00C232EE" w:rsidRDefault="009A5932" w:rsidP="00C232EE">
      <w:pPr>
        <w:spacing w:after="120" w:line="360" w:lineRule="auto"/>
        <w:rPr>
          <w:rFonts w:ascii="Calibri" w:hAnsi="Calibri"/>
          <w:b/>
          <w:u w:val="single"/>
        </w:rPr>
      </w:pPr>
      <w:r w:rsidRPr="00C232EE">
        <w:rPr>
          <w:rFonts w:ascii="Calibri" w:hAnsi="Calibri"/>
          <w:b/>
          <w:u w:val="single"/>
        </w:rPr>
        <w:t>Response 5</w:t>
      </w:r>
    </w:p>
    <w:p w:rsidR="009A5932" w:rsidRPr="00C232EE" w:rsidRDefault="00FD75DC" w:rsidP="00C232EE">
      <w:pPr>
        <w:spacing w:after="120" w:line="360" w:lineRule="auto"/>
        <w:rPr>
          <w:rFonts w:ascii="Calibri" w:hAnsi="Calibri"/>
        </w:rPr>
      </w:pPr>
      <w:r w:rsidRPr="00C232EE">
        <w:rPr>
          <w:rFonts w:ascii="Calibri" w:hAnsi="Calibri"/>
        </w:rPr>
        <w:t>No, there is no</w:t>
      </w:r>
      <w:r w:rsidR="00DA0F60" w:rsidRPr="00C232EE">
        <w:rPr>
          <w:rFonts w:ascii="Calibri" w:hAnsi="Calibri"/>
        </w:rPr>
        <w:t xml:space="preserve"> stated or</w:t>
      </w:r>
      <w:r w:rsidRPr="00C232EE">
        <w:rPr>
          <w:rFonts w:ascii="Calibri" w:hAnsi="Calibri"/>
        </w:rPr>
        <w:t xml:space="preserve"> intended ‘point of delivery’ in </w:t>
      </w:r>
      <w:r w:rsidR="00DB7594" w:rsidRPr="00C232EE">
        <w:rPr>
          <w:rFonts w:ascii="Calibri" w:hAnsi="Calibri"/>
        </w:rPr>
        <w:t>Rule 2, Section C</w:t>
      </w:r>
      <w:r w:rsidRPr="00C232EE">
        <w:rPr>
          <w:rFonts w:ascii="Calibri" w:hAnsi="Calibri"/>
        </w:rPr>
        <w:t xml:space="preserve">.   </w:t>
      </w:r>
      <w:r w:rsidR="00DB7594" w:rsidRPr="00C232EE">
        <w:rPr>
          <w:rFonts w:ascii="Calibri" w:hAnsi="Calibri"/>
        </w:rPr>
        <w:t xml:space="preserve">  </w:t>
      </w:r>
      <w:r w:rsidRPr="00C232EE">
        <w:rPr>
          <w:rFonts w:ascii="Calibri" w:hAnsi="Calibri"/>
        </w:rPr>
        <w:t xml:space="preserve"> </w:t>
      </w:r>
    </w:p>
    <w:p w:rsidR="009A5932" w:rsidRPr="00221671" w:rsidRDefault="009A5932" w:rsidP="00221671">
      <w:pPr>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191F68" w:rsidRDefault="00191F68" w:rsidP="00DF1CD7">
      <w:pPr>
        <w:pStyle w:val="Default"/>
        <w:spacing w:after="120" w:line="360" w:lineRule="auto"/>
        <w:rPr>
          <w:rFonts w:ascii="Calibri" w:hAnsi="Calibri"/>
          <w:b/>
          <w:u w:val="single"/>
        </w:rPr>
      </w:pPr>
    </w:p>
    <w:p w:rsidR="00221671" w:rsidRPr="00C232EE" w:rsidRDefault="009A5932" w:rsidP="00DF1CD7">
      <w:pPr>
        <w:pStyle w:val="Default"/>
        <w:spacing w:after="120" w:line="360" w:lineRule="auto"/>
        <w:rPr>
          <w:rFonts w:ascii="Calibri" w:hAnsi="Calibri"/>
          <w:b/>
          <w:u w:val="single"/>
        </w:rPr>
      </w:pPr>
      <w:r w:rsidRPr="00C232EE">
        <w:rPr>
          <w:rFonts w:ascii="Calibri" w:hAnsi="Calibri"/>
          <w:b/>
          <w:u w:val="single"/>
        </w:rPr>
        <w:lastRenderedPageBreak/>
        <w:t>Question 6</w:t>
      </w:r>
      <w:r w:rsidR="00561FA4" w:rsidRPr="00C232EE">
        <w:rPr>
          <w:rFonts w:ascii="Calibri" w:hAnsi="Calibri"/>
          <w:b/>
          <w:u w:val="single"/>
        </w:rPr>
        <w:t xml:space="preserve"> </w:t>
      </w:r>
    </w:p>
    <w:p w:rsidR="00DF1CD7" w:rsidRPr="00C232EE" w:rsidRDefault="00DF1CD7" w:rsidP="00DF1CD7">
      <w:pPr>
        <w:pStyle w:val="Default"/>
        <w:spacing w:after="120" w:line="360" w:lineRule="auto"/>
        <w:rPr>
          <w:rFonts w:ascii="Calibri" w:hAnsi="Calibri"/>
          <w:b/>
          <w:u w:val="single"/>
        </w:rPr>
      </w:pPr>
      <w:r w:rsidRPr="00C232EE">
        <w:rPr>
          <w:rFonts w:ascii="Calibri" w:hAnsi="Calibri"/>
        </w:rPr>
        <w:t>SoCalGas’ Rule 2, Section O., subsection 4 says: “Applicant requesting special facilities will be required to execute a written contract prior to Utility performing its work to install or dedicate special facilities. The general form of such contract shall be on file with the Commission.” Please provide a copy of the general form of such contract that is on file with the Commission.</w:t>
      </w:r>
    </w:p>
    <w:p w:rsidR="009A5932" w:rsidRPr="00C232EE" w:rsidRDefault="009A5932" w:rsidP="00221671">
      <w:pPr>
        <w:spacing w:after="120" w:line="360" w:lineRule="auto"/>
        <w:rPr>
          <w:rFonts w:ascii="Calibri" w:hAnsi="Calibri" w:cs="Arial"/>
          <w:b/>
          <w:u w:val="single"/>
        </w:rPr>
      </w:pPr>
      <w:r w:rsidRPr="00C232EE">
        <w:rPr>
          <w:rFonts w:ascii="Calibri" w:hAnsi="Calibri" w:cs="Arial"/>
          <w:b/>
          <w:u w:val="single"/>
        </w:rPr>
        <w:t>Response 6</w:t>
      </w:r>
    </w:p>
    <w:p w:rsidR="00BD4691" w:rsidRPr="00721BB9" w:rsidRDefault="00BD4691" w:rsidP="00BD4691">
      <w:pPr>
        <w:rPr>
          <w:rFonts w:asciiTheme="minorHAnsi" w:hAnsiTheme="minorHAnsi" w:cstheme="minorHAnsi"/>
        </w:rPr>
      </w:pPr>
      <w:bookmarkStart w:id="0" w:name="_GoBack"/>
      <w:r w:rsidRPr="00721BB9">
        <w:rPr>
          <w:rFonts w:asciiTheme="minorHAnsi" w:hAnsiTheme="minorHAnsi" w:cstheme="minorHAnsi"/>
        </w:rPr>
        <w:t xml:space="preserve">The general form for the Special Facilities contract is available at the following link on the SoCalGas website:  </w:t>
      </w:r>
    </w:p>
    <w:p w:rsidR="00BD4691" w:rsidRPr="00721BB9" w:rsidRDefault="00BD4691" w:rsidP="00BD4691">
      <w:pPr>
        <w:rPr>
          <w:rFonts w:asciiTheme="minorHAnsi" w:hAnsiTheme="minorHAnsi" w:cstheme="minorHAnsi"/>
        </w:rPr>
      </w:pPr>
    </w:p>
    <w:p w:rsidR="00BD4691" w:rsidRPr="00721BB9" w:rsidRDefault="00FE078B" w:rsidP="00BD4691">
      <w:pPr>
        <w:rPr>
          <w:rFonts w:asciiTheme="minorHAnsi" w:hAnsiTheme="minorHAnsi" w:cstheme="minorHAnsi"/>
        </w:rPr>
      </w:pPr>
      <w:hyperlink r:id="rId8" w:history="1">
        <w:r w:rsidR="00BD4691" w:rsidRPr="00721BB9">
          <w:rPr>
            <w:rStyle w:val="Hyperlink"/>
            <w:rFonts w:asciiTheme="minorHAnsi" w:hAnsiTheme="minorHAnsi" w:cstheme="minorHAnsi"/>
            <w:color w:val="auto"/>
          </w:rPr>
          <w:t>http://www.socalgas.com/regulatory/tariffs/tm2/pdf/Special_Faciliti.pdf</w:t>
        </w:r>
      </w:hyperlink>
    </w:p>
    <w:bookmarkEnd w:id="0"/>
    <w:p w:rsidR="009A5932" w:rsidRPr="00221671" w:rsidRDefault="009A5932" w:rsidP="00221671">
      <w:pPr>
        <w:spacing w:after="120" w:line="360" w:lineRule="auto"/>
        <w:rPr>
          <w:rFonts w:ascii="Calibri" w:hAnsi="Calibri" w:cs="Arial"/>
          <w:b/>
          <w:u w:val="single"/>
        </w:rPr>
      </w:pPr>
    </w:p>
    <w:p w:rsidR="009A5932" w:rsidRPr="00221671" w:rsidRDefault="009A5932" w:rsidP="00221671">
      <w:pPr>
        <w:spacing w:after="120" w:line="360" w:lineRule="auto"/>
        <w:rPr>
          <w:rFonts w:ascii="Calibri" w:hAnsi="Calibri" w:cs="Arial"/>
          <w:b/>
          <w:u w:val="single"/>
        </w:rPr>
      </w:pPr>
    </w:p>
    <w:p w:rsidR="009A5932" w:rsidRPr="00221671" w:rsidRDefault="009A5932" w:rsidP="00221671">
      <w:pPr>
        <w:spacing w:after="120" w:line="360" w:lineRule="auto"/>
        <w:rPr>
          <w:rFonts w:ascii="Calibri" w:hAnsi="Calibri" w:cs="Arial"/>
          <w:b/>
          <w:u w:val="single"/>
        </w:rPr>
      </w:pPr>
      <w:r w:rsidRPr="00221671">
        <w:rPr>
          <w:rFonts w:ascii="Calibri" w:hAnsi="Calibri" w:cs="Arial"/>
          <w:b/>
          <w:u w:val="single"/>
        </w:rPr>
        <w:br w:type="page"/>
      </w:r>
    </w:p>
    <w:p w:rsidR="009A5932" w:rsidRPr="00C232EE" w:rsidRDefault="009A5932" w:rsidP="00221671">
      <w:pPr>
        <w:spacing w:after="120" w:line="360" w:lineRule="auto"/>
        <w:rPr>
          <w:rFonts w:ascii="Calibri" w:hAnsi="Calibri" w:cs="Tahoma"/>
          <w:b/>
          <w:u w:val="single"/>
        </w:rPr>
      </w:pPr>
      <w:r w:rsidRPr="00C232EE">
        <w:rPr>
          <w:rFonts w:ascii="Calibri" w:hAnsi="Calibri" w:cs="Tahoma"/>
          <w:b/>
          <w:u w:val="single"/>
        </w:rPr>
        <w:lastRenderedPageBreak/>
        <w:t>Question 7:</w:t>
      </w:r>
    </w:p>
    <w:p w:rsidR="009A5932" w:rsidRPr="00C232EE" w:rsidRDefault="00DF1CD7" w:rsidP="00221671">
      <w:pPr>
        <w:spacing w:after="120" w:line="360" w:lineRule="auto"/>
        <w:rPr>
          <w:rFonts w:ascii="Calibri" w:hAnsi="Calibri" w:cs="Tahoma"/>
        </w:rPr>
      </w:pPr>
      <w:r w:rsidRPr="00C232EE">
        <w:rPr>
          <w:rFonts w:ascii="Calibri" w:hAnsi="Calibri" w:cs="Tahoma"/>
        </w:rPr>
        <w:t>On page 17 lines 20-21 of his rebuttal testimony, Mr. Reed states that “SoCalGas is prohibited from promoting a particular service or service provider over others.” Please identify all authorities or requirements upon which Mr. Reed bases this statement.</w:t>
      </w:r>
    </w:p>
    <w:p w:rsidR="009A5932" w:rsidRPr="00C232EE" w:rsidRDefault="009A5932" w:rsidP="00221671">
      <w:pPr>
        <w:spacing w:after="120" w:line="360" w:lineRule="auto"/>
        <w:rPr>
          <w:rFonts w:ascii="Calibri" w:hAnsi="Calibri" w:cs="Tahoma"/>
          <w:b/>
          <w:u w:val="single"/>
        </w:rPr>
      </w:pPr>
      <w:r w:rsidRPr="00C232EE">
        <w:rPr>
          <w:rFonts w:ascii="Calibri" w:hAnsi="Calibri" w:cs="Tahoma"/>
          <w:b/>
          <w:u w:val="single"/>
        </w:rPr>
        <w:t>Response 7:</w:t>
      </w:r>
    </w:p>
    <w:p w:rsidR="009A5932" w:rsidRPr="00C232EE" w:rsidRDefault="00317ECB" w:rsidP="00221671">
      <w:pPr>
        <w:spacing w:after="120" w:line="360" w:lineRule="auto"/>
        <w:rPr>
          <w:rFonts w:ascii="Calibri" w:hAnsi="Calibri" w:cs="Tahoma"/>
          <w:b/>
          <w:u w:val="single"/>
        </w:rPr>
      </w:pPr>
      <w:r w:rsidRPr="00C232EE">
        <w:rPr>
          <w:rFonts w:ascii="Calibri" w:hAnsi="Calibri" w:cs="Tahoma"/>
        </w:rPr>
        <w:t>The statement referenced is based on Public Utilities Code 453(a), which states “…No public utility shall, as to rates, charges, service, facilities, or in any other respect, make or grant any preference or advantage to any corporation or person or subject any corporation or person to any prejudice or disadvantage…”</w:t>
      </w: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9A5932" w:rsidRPr="00221671" w:rsidRDefault="009A5932" w:rsidP="00221671">
      <w:pPr>
        <w:spacing w:after="120" w:line="360" w:lineRule="auto"/>
        <w:rPr>
          <w:rFonts w:ascii="Calibri" w:hAnsi="Calibri"/>
          <w:b/>
          <w:u w:val="single"/>
        </w:rPr>
      </w:pPr>
    </w:p>
    <w:p w:rsidR="00221671" w:rsidRPr="00221671" w:rsidRDefault="00221671" w:rsidP="00221671">
      <w:pPr>
        <w:spacing w:after="120" w:line="360" w:lineRule="auto"/>
        <w:rPr>
          <w:rFonts w:ascii="Calibri" w:hAnsi="Calibri" w:cs="Arial"/>
          <w:b/>
          <w:u w:val="single"/>
        </w:rPr>
      </w:pPr>
    </w:p>
    <w:sectPr w:rsidR="00221671" w:rsidRPr="00221671" w:rsidSect="00AF3427">
      <w:headerReference w:type="default"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8B" w:rsidRDefault="00FE078B">
      <w:r>
        <w:separator/>
      </w:r>
    </w:p>
  </w:endnote>
  <w:endnote w:type="continuationSeparator" w:id="0">
    <w:p w:rsidR="00FE078B" w:rsidRDefault="00FE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D3" w:rsidRPr="00E86619" w:rsidRDefault="009202D3">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721BB9">
      <w:rPr>
        <w:rStyle w:val="PageNumber"/>
        <w:rFonts w:ascii="Arial" w:hAnsi="Arial" w:cs="Arial"/>
        <w:noProof/>
      </w:rPr>
      <w:t>7</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8B" w:rsidRDefault="00FE078B">
      <w:r>
        <w:separator/>
      </w:r>
    </w:p>
  </w:footnote>
  <w:footnote w:type="continuationSeparator" w:id="0">
    <w:p w:rsidR="00FE078B" w:rsidRDefault="00FE0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D3" w:rsidRDefault="009202D3" w:rsidP="004463AA">
    <w:pPr>
      <w:pStyle w:val="Header"/>
      <w:jc w:val="center"/>
      <w:rPr>
        <w:rFonts w:ascii="Arial" w:hAnsi="Arial" w:cs="Arial"/>
        <w:b/>
      </w:rPr>
    </w:pPr>
    <w:r>
      <w:rPr>
        <w:rFonts w:ascii="Arial" w:hAnsi="Arial" w:cs="Arial"/>
        <w:b/>
      </w:rPr>
      <w:t>SOUTHERN CALIFORNIA GAS COMPANY</w:t>
    </w:r>
  </w:p>
  <w:p w:rsidR="009202D3" w:rsidRDefault="009202D3" w:rsidP="004463AA">
    <w:pPr>
      <w:pStyle w:val="Header"/>
      <w:jc w:val="center"/>
      <w:rPr>
        <w:rFonts w:ascii="Arial" w:hAnsi="Arial" w:cs="Arial"/>
        <w:b/>
      </w:rPr>
    </w:pPr>
    <w:r>
      <w:rPr>
        <w:rFonts w:ascii="Arial" w:hAnsi="Arial" w:cs="Arial"/>
        <w:b/>
      </w:rPr>
      <w:t>Compression Services Application</w:t>
    </w:r>
  </w:p>
  <w:p w:rsidR="009202D3" w:rsidRDefault="009202D3" w:rsidP="004463AA">
    <w:pPr>
      <w:pStyle w:val="Header"/>
      <w:jc w:val="center"/>
      <w:rPr>
        <w:rFonts w:ascii="Arial" w:hAnsi="Arial" w:cs="Arial"/>
        <w:b/>
      </w:rPr>
    </w:pPr>
    <w:r>
      <w:rPr>
        <w:rFonts w:ascii="Arial" w:hAnsi="Arial" w:cs="Arial"/>
        <w:b/>
      </w:rPr>
      <w:t>(A.11-11-011)</w:t>
    </w:r>
  </w:p>
  <w:p w:rsidR="009202D3" w:rsidRPr="00C178B5" w:rsidRDefault="009202D3" w:rsidP="004463AA">
    <w:pPr>
      <w:pStyle w:val="Header"/>
      <w:jc w:val="center"/>
      <w:rPr>
        <w:rFonts w:ascii="Arial" w:hAnsi="Arial" w:cs="Arial"/>
        <w:b/>
        <w:sz w:val="8"/>
        <w:szCs w:val="8"/>
      </w:rPr>
    </w:pPr>
  </w:p>
  <w:p w:rsidR="009202D3" w:rsidRPr="00507F24" w:rsidRDefault="009202D3" w:rsidP="004463AA">
    <w:pPr>
      <w:pStyle w:val="Header"/>
      <w:jc w:val="center"/>
      <w:rPr>
        <w:rFonts w:ascii="Arial" w:hAnsi="Arial" w:cs="Arial"/>
        <w:b/>
      </w:rPr>
    </w:pPr>
    <w:r>
      <w:rPr>
        <w:rFonts w:ascii="Arial" w:hAnsi="Arial" w:cs="Arial"/>
        <w:b/>
      </w:rPr>
      <w:t>(5th DATA REQUEST FROM Clean Energy)</w:t>
    </w:r>
  </w:p>
  <w:p w:rsidR="009202D3" w:rsidRDefault="009202D3"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952080"/>
    <w:multiLevelType w:val="hybridMultilevel"/>
    <w:tmpl w:val="A1AA985A"/>
    <w:lvl w:ilvl="0" w:tplc="8A94BB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FE4B6C"/>
    <w:multiLevelType w:val="hybridMultilevel"/>
    <w:tmpl w:val="80A6C97C"/>
    <w:lvl w:ilvl="0" w:tplc="8A94BB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2CE76889"/>
    <w:multiLevelType w:val="hybridMultilevel"/>
    <w:tmpl w:val="242E5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1528F7"/>
    <w:multiLevelType w:val="multilevel"/>
    <w:tmpl w:val="03F4E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4">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7F74E57"/>
    <w:multiLevelType w:val="hybridMultilevel"/>
    <w:tmpl w:val="D73242D8"/>
    <w:lvl w:ilvl="0" w:tplc="18A61916">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4"/>
  </w:num>
  <w:num w:numId="3">
    <w:abstractNumId w:val="7"/>
  </w:num>
  <w:num w:numId="4">
    <w:abstractNumId w:val="22"/>
  </w:num>
  <w:num w:numId="5">
    <w:abstractNumId w:val="16"/>
  </w:num>
  <w:num w:numId="6">
    <w:abstractNumId w:val="21"/>
  </w:num>
  <w:num w:numId="7">
    <w:abstractNumId w:val="14"/>
  </w:num>
  <w:num w:numId="8">
    <w:abstractNumId w:val="23"/>
  </w:num>
  <w:num w:numId="9">
    <w:abstractNumId w:val="19"/>
  </w:num>
  <w:num w:numId="10">
    <w:abstractNumId w:val="9"/>
  </w:num>
  <w:num w:numId="11">
    <w:abstractNumId w:val="5"/>
  </w:num>
  <w:num w:numId="12">
    <w:abstractNumId w:val="3"/>
  </w:num>
  <w:num w:numId="13">
    <w:abstractNumId w:val="2"/>
  </w:num>
  <w:num w:numId="14">
    <w:abstractNumId w:val="17"/>
  </w:num>
  <w:num w:numId="15">
    <w:abstractNumId w:val="18"/>
  </w:num>
  <w:num w:numId="16">
    <w:abstractNumId w:val="15"/>
  </w:num>
  <w:num w:numId="17">
    <w:abstractNumId w:val="1"/>
  </w:num>
  <w:num w:numId="18">
    <w:abstractNumId w:val="10"/>
  </w:num>
  <w:num w:numId="19">
    <w:abstractNumId w:val="4"/>
  </w:num>
  <w:num w:numId="20">
    <w:abstractNumId w:val="13"/>
  </w:num>
  <w:num w:numId="21">
    <w:abstractNumId w:val="20"/>
  </w:num>
  <w:num w:numId="22">
    <w:abstractNumId w:val="6"/>
  </w:num>
  <w:num w:numId="23">
    <w:abstractNumId w:val="12"/>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16107"/>
    <w:rsid w:val="00026804"/>
    <w:rsid w:val="000348B3"/>
    <w:rsid w:val="000445AE"/>
    <w:rsid w:val="000446FA"/>
    <w:rsid w:val="00050DEA"/>
    <w:rsid w:val="00054200"/>
    <w:rsid w:val="00055DC9"/>
    <w:rsid w:val="00060B2F"/>
    <w:rsid w:val="00062FD1"/>
    <w:rsid w:val="00084516"/>
    <w:rsid w:val="000863E0"/>
    <w:rsid w:val="000973D6"/>
    <w:rsid w:val="000A1E93"/>
    <w:rsid w:val="000B2D32"/>
    <w:rsid w:val="000B5948"/>
    <w:rsid w:val="000C0E9E"/>
    <w:rsid w:val="000C3B1F"/>
    <w:rsid w:val="000D5EF6"/>
    <w:rsid w:val="000E2012"/>
    <w:rsid w:val="000E32F6"/>
    <w:rsid w:val="000E5737"/>
    <w:rsid w:val="000F0C29"/>
    <w:rsid w:val="000F5ECC"/>
    <w:rsid w:val="00130F5D"/>
    <w:rsid w:val="001513C4"/>
    <w:rsid w:val="00171E47"/>
    <w:rsid w:val="00171F7F"/>
    <w:rsid w:val="00172C20"/>
    <w:rsid w:val="001754B0"/>
    <w:rsid w:val="001843FC"/>
    <w:rsid w:val="00191F68"/>
    <w:rsid w:val="001B2C3E"/>
    <w:rsid w:val="001D4131"/>
    <w:rsid w:val="001D5051"/>
    <w:rsid w:val="001D59CE"/>
    <w:rsid w:val="001E4A11"/>
    <w:rsid w:val="001F0974"/>
    <w:rsid w:val="001F2F28"/>
    <w:rsid w:val="002021F9"/>
    <w:rsid w:val="002055BD"/>
    <w:rsid w:val="00214711"/>
    <w:rsid w:val="00215B6F"/>
    <w:rsid w:val="00217318"/>
    <w:rsid w:val="00221671"/>
    <w:rsid w:val="002441E5"/>
    <w:rsid w:val="002447CF"/>
    <w:rsid w:val="00261CC6"/>
    <w:rsid w:val="00261F21"/>
    <w:rsid w:val="002749B8"/>
    <w:rsid w:val="002C432D"/>
    <w:rsid w:val="002D7E7D"/>
    <w:rsid w:val="002E095B"/>
    <w:rsid w:val="002F2315"/>
    <w:rsid w:val="00304CDE"/>
    <w:rsid w:val="0031070C"/>
    <w:rsid w:val="0031141C"/>
    <w:rsid w:val="00317ECB"/>
    <w:rsid w:val="00324B76"/>
    <w:rsid w:val="00325B70"/>
    <w:rsid w:val="00335AB8"/>
    <w:rsid w:val="003405A5"/>
    <w:rsid w:val="003454C0"/>
    <w:rsid w:val="00347ECE"/>
    <w:rsid w:val="00350597"/>
    <w:rsid w:val="00355086"/>
    <w:rsid w:val="00367398"/>
    <w:rsid w:val="00371822"/>
    <w:rsid w:val="0038508D"/>
    <w:rsid w:val="003855A4"/>
    <w:rsid w:val="0039435A"/>
    <w:rsid w:val="003C64AC"/>
    <w:rsid w:val="003E1421"/>
    <w:rsid w:val="003F2B48"/>
    <w:rsid w:val="00405FCB"/>
    <w:rsid w:val="00413F61"/>
    <w:rsid w:val="00424BD5"/>
    <w:rsid w:val="004342FD"/>
    <w:rsid w:val="00442D6C"/>
    <w:rsid w:val="00443AB5"/>
    <w:rsid w:val="004463AA"/>
    <w:rsid w:val="004628EB"/>
    <w:rsid w:val="00462A0B"/>
    <w:rsid w:val="004710C7"/>
    <w:rsid w:val="004A11B8"/>
    <w:rsid w:val="004B00F4"/>
    <w:rsid w:val="004B1982"/>
    <w:rsid w:val="004C16DC"/>
    <w:rsid w:val="004D1DD7"/>
    <w:rsid w:val="004E361C"/>
    <w:rsid w:val="005029CA"/>
    <w:rsid w:val="00502F3C"/>
    <w:rsid w:val="00507F24"/>
    <w:rsid w:val="00532E42"/>
    <w:rsid w:val="005476B2"/>
    <w:rsid w:val="00561FA4"/>
    <w:rsid w:val="0056586F"/>
    <w:rsid w:val="005757EF"/>
    <w:rsid w:val="00581DF1"/>
    <w:rsid w:val="00582C14"/>
    <w:rsid w:val="00586657"/>
    <w:rsid w:val="005945FF"/>
    <w:rsid w:val="00596EB7"/>
    <w:rsid w:val="005A54EE"/>
    <w:rsid w:val="005A6959"/>
    <w:rsid w:val="005C452D"/>
    <w:rsid w:val="005C5391"/>
    <w:rsid w:val="005C66CF"/>
    <w:rsid w:val="005C6E7A"/>
    <w:rsid w:val="005D51A3"/>
    <w:rsid w:val="005F1AAE"/>
    <w:rsid w:val="005F4287"/>
    <w:rsid w:val="00612014"/>
    <w:rsid w:val="006177F4"/>
    <w:rsid w:val="0063481C"/>
    <w:rsid w:val="00636BCF"/>
    <w:rsid w:val="0064053C"/>
    <w:rsid w:val="006526DD"/>
    <w:rsid w:val="0065774B"/>
    <w:rsid w:val="00657A12"/>
    <w:rsid w:val="00657ADE"/>
    <w:rsid w:val="0067709F"/>
    <w:rsid w:val="00685B80"/>
    <w:rsid w:val="0068633D"/>
    <w:rsid w:val="00686DC5"/>
    <w:rsid w:val="00687D80"/>
    <w:rsid w:val="00693014"/>
    <w:rsid w:val="00696A82"/>
    <w:rsid w:val="006B49A6"/>
    <w:rsid w:val="006B5580"/>
    <w:rsid w:val="006E6D13"/>
    <w:rsid w:val="006F5CD8"/>
    <w:rsid w:val="007022E5"/>
    <w:rsid w:val="0070499C"/>
    <w:rsid w:val="00711436"/>
    <w:rsid w:val="007117C9"/>
    <w:rsid w:val="00717106"/>
    <w:rsid w:val="00721BB9"/>
    <w:rsid w:val="00724B83"/>
    <w:rsid w:val="00726863"/>
    <w:rsid w:val="00726B5A"/>
    <w:rsid w:val="007358B6"/>
    <w:rsid w:val="007421A0"/>
    <w:rsid w:val="00751C4C"/>
    <w:rsid w:val="007603F9"/>
    <w:rsid w:val="00763B3D"/>
    <w:rsid w:val="00764EE6"/>
    <w:rsid w:val="007758C7"/>
    <w:rsid w:val="007879EC"/>
    <w:rsid w:val="00792FC7"/>
    <w:rsid w:val="00794553"/>
    <w:rsid w:val="00797B94"/>
    <w:rsid w:val="007A5686"/>
    <w:rsid w:val="007B59E1"/>
    <w:rsid w:val="007D7884"/>
    <w:rsid w:val="007E1BBA"/>
    <w:rsid w:val="007E415B"/>
    <w:rsid w:val="007F2743"/>
    <w:rsid w:val="0080163C"/>
    <w:rsid w:val="0081001C"/>
    <w:rsid w:val="008127BF"/>
    <w:rsid w:val="00846D35"/>
    <w:rsid w:val="00854D38"/>
    <w:rsid w:val="00855308"/>
    <w:rsid w:val="00892AB4"/>
    <w:rsid w:val="008A0C1E"/>
    <w:rsid w:val="008A3929"/>
    <w:rsid w:val="008B0035"/>
    <w:rsid w:val="008B0407"/>
    <w:rsid w:val="008B29B7"/>
    <w:rsid w:val="008B45FF"/>
    <w:rsid w:val="008C558B"/>
    <w:rsid w:val="008E4C93"/>
    <w:rsid w:val="008F2A13"/>
    <w:rsid w:val="009014E2"/>
    <w:rsid w:val="00911A98"/>
    <w:rsid w:val="009202D3"/>
    <w:rsid w:val="00924832"/>
    <w:rsid w:val="00927C7F"/>
    <w:rsid w:val="009308B2"/>
    <w:rsid w:val="009353A5"/>
    <w:rsid w:val="0093553C"/>
    <w:rsid w:val="00947B32"/>
    <w:rsid w:val="0095411D"/>
    <w:rsid w:val="00967F6A"/>
    <w:rsid w:val="009742EE"/>
    <w:rsid w:val="009859E9"/>
    <w:rsid w:val="00994689"/>
    <w:rsid w:val="00996B85"/>
    <w:rsid w:val="009A5932"/>
    <w:rsid w:val="009A6E64"/>
    <w:rsid w:val="009E04A7"/>
    <w:rsid w:val="009E2A12"/>
    <w:rsid w:val="009E6BC2"/>
    <w:rsid w:val="009F34CB"/>
    <w:rsid w:val="00A03C67"/>
    <w:rsid w:val="00A17B4A"/>
    <w:rsid w:val="00A21C4E"/>
    <w:rsid w:val="00A36704"/>
    <w:rsid w:val="00A4223E"/>
    <w:rsid w:val="00A558C1"/>
    <w:rsid w:val="00A65A2F"/>
    <w:rsid w:val="00A67A4C"/>
    <w:rsid w:val="00A76001"/>
    <w:rsid w:val="00A7705A"/>
    <w:rsid w:val="00A85689"/>
    <w:rsid w:val="00A8757F"/>
    <w:rsid w:val="00AA7D9B"/>
    <w:rsid w:val="00AB0D75"/>
    <w:rsid w:val="00AB369C"/>
    <w:rsid w:val="00AB453E"/>
    <w:rsid w:val="00AB69DF"/>
    <w:rsid w:val="00AC3331"/>
    <w:rsid w:val="00AC43D0"/>
    <w:rsid w:val="00AD0ED1"/>
    <w:rsid w:val="00AE204C"/>
    <w:rsid w:val="00AE603A"/>
    <w:rsid w:val="00AE71DA"/>
    <w:rsid w:val="00AF1AE8"/>
    <w:rsid w:val="00AF1FFF"/>
    <w:rsid w:val="00AF3427"/>
    <w:rsid w:val="00AF70D5"/>
    <w:rsid w:val="00B001DD"/>
    <w:rsid w:val="00B1595B"/>
    <w:rsid w:val="00B17600"/>
    <w:rsid w:val="00B177D4"/>
    <w:rsid w:val="00B23DF8"/>
    <w:rsid w:val="00B30845"/>
    <w:rsid w:val="00B32CAC"/>
    <w:rsid w:val="00B50348"/>
    <w:rsid w:val="00B50871"/>
    <w:rsid w:val="00B73181"/>
    <w:rsid w:val="00BA578B"/>
    <w:rsid w:val="00BB2092"/>
    <w:rsid w:val="00BC556D"/>
    <w:rsid w:val="00BD1AC1"/>
    <w:rsid w:val="00BD3336"/>
    <w:rsid w:val="00BD4691"/>
    <w:rsid w:val="00BD747C"/>
    <w:rsid w:val="00BE54FA"/>
    <w:rsid w:val="00C00BF1"/>
    <w:rsid w:val="00C038CE"/>
    <w:rsid w:val="00C141A5"/>
    <w:rsid w:val="00C15955"/>
    <w:rsid w:val="00C232EE"/>
    <w:rsid w:val="00C4302A"/>
    <w:rsid w:val="00C44CE1"/>
    <w:rsid w:val="00C478AC"/>
    <w:rsid w:val="00C50AFA"/>
    <w:rsid w:val="00C56947"/>
    <w:rsid w:val="00C6106E"/>
    <w:rsid w:val="00C62CAA"/>
    <w:rsid w:val="00C97039"/>
    <w:rsid w:val="00CB1F14"/>
    <w:rsid w:val="00CB3FD9"/>
    <w:rsid w:val="00CC7ADB"/>
    <w:rsid w:val="00CD2A4C"/>
    <w:rsid w:val="00CD3A2B"/>
    <w:rsid w:val="00CE68C1"/>
    <w:rsid w:val="00D00E73"/>
    <w:rsid w:val="00D13CE2"/>
    <w:rsid w:val="00D14DA0"/>
    <w:rsid w:val="00D229C8"/>
    <w:rsid w:val="00D27711"/>
    <w:rsid w:val="00D30303"/>
    <w:rsid w:val="00D32DEC"/>
    <w:rsid w:val="00D42A9F"/>
    <w:rsid w:val="00D508B0"/>
    <w:rsid w:val="00D51BAE"/>
    <w:rsid w:val="00D66C29"/>
    <w:rsid w:val="00D80485"/>
    <w:rsid w:val="00DA0F60"/>
    <w:rsid w:val="00DB3DF1"/>
    <w:rsid w:val="00DB7594"/>
    <w:rsid w:val="00DE0F65"/>
    <w:rsid w:val="00DF1CD7"/>
    <w:rsid w:val="00E00708"/>
    <w:rsid w:val="00E20F09"/>
    <w:rsid w:val="00E25E1B"/>
    <w:rsid w:val="00E26735"/>
    <w:rsid w:val="00E33FF8"/>
    <w:rsid w:val="00E4158F"/>
    <w:rsid w:val="00E42C0C"/>
    <w:rsid w:val="00E44F2B"/>
    <w:rsid w:val="00E54E2E"/>
    <w:rsid w:val="00E77426"/>
    <w:rsid w:val="00E802E5"/>
    <w:rsid w:val="00E82FDE"/>
    <w:rsid w:val="00E86619"/>
    <w:rsid w:val="00EA0F7A"/>
    <w:rsid w:val="00EA3916"/>
    <w:rsid w:val="00EB31C8"/>
    <w:rsid w:val="00EC4C69"/>
    <w:rsid w:val="00EC666E"/>
    <w:rsid w:val="00ED0B44"/>
    <w:rsid w:val="00ED0D66"/>
    <w:rsid w:val="00EF0C48"/>
    <w:rsid w:val="00EF2F2E"/>
    <w:rsid w:val="00EF5125"/>
    <w:rsid w:val="00F01063"/>
    <w:rsid w:val="00F033B8"/>
    <w:rsid w:val="00F27D4B"/>
    <w:rsid w:val="00F3113C"/>
    <w:rsid w:val="00F438E8"/>
    <w:rsid w:val="00F66FE5"/>
    <w:rsid w:val="00F67377"/>
    <w:rsid w:val="00F759E8"/>
    <w:rsid w:val="00F86603"/>
    <w:rsid w:val="00F918F2"/>
    <w:rsid w:val="00F9456E"/>
    <w:rsid w:val="00FB1C4C"/>
    <w:rsid w:val="00FB2385"/>
    <w:rsid w:val="00FD75DC"/>
    <w:rsid w:val="00FE078B"/>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BodyText">
    <w:name w:val="Body Text"/>
    <w:basedOn w:val="Normal"/>
    <w:link w:val="BodyTextChar"/>
    <w:rsid w:val="004463AA"/>
    <w:pPr>
      <w:spacing w:after="120"/>
    </w:pPr>
  </w:style>
  <w:style w:type="character" w:customStyle="1" w:styleId="BodyTextChar">
    <w:name w:val="Body Text Char"/>
    <w:link w:val="BodyText"/>
    <w:rsid w:val="004463AA"/>
    <w:rPr>
      <w:sz w:val="24"/>
      <w:szCs w:val="24"/>
    </w:rPr>
  </w:style>
  <w:style w:type="paragraph" w:styleId="BodyTextFirstIndent">
    <w:name w:val="Body Text First Indent"/>
    <w:basedOn w:val="BodyText"/>
    <w:link w:val="BodyTextFirstIndentChar"/>
    <w:uiPriority w:val="99"/>
    <w:unhideWhenUsed/>
    <w:rsid w:val="004463AA"/>
    <w:pPr>
      <w:spacing w:line="360" w:lineRule="auto"/>
      <w:ind w:firstLine="720"/>
      <w:jc w:val="both"/>
    </w:pPr>
    <w:rPr>
      <w:rFonts w:eastAsia="Calibri"/>
      <w:szCs w:val="22"/>
    </w:rPr>
  </w:style>
  <w:style w:type="character" w:customStyle="1" w:styleId="BodyTextFirstIndentChar">
    <w:name w:val="Body Text First Indent Char"/>
    <w:link w:val="BodyTextFirstIndent"/>
    <w:uiPriority w:val="99"/>
    <w:rsid w:val="004463AA"/>
    <w:rPr>
      <w:rFonts w:eastAsia="Calibri"/>
      <w:sz w:val="24"/>
      <w:szCs w:val="22"/>
    </w:rPr>
  </w:style>
  <w:style w:type="character" w:styleId="Hyperlink">
    <w:name w:val="Hyperlink"/>
    <w:uiPriority w:val="99"/>
    <w:rsid w:val="00B73181"/>
    <w:rPr>
      <w:rFonts w:cs="Times New Roman"/>
      <w:color w:val="0000FF"/>
      <w:u w:val="single"/>
    </w:rPr>
  </w:style>
  <w:style w:type="paragraph" w:styleId="EndnoteText">
    <w:name w:val="endnote text"/>
    <w:basedOn w:val="Normal"/>
    <w:link w:val="EndnoteTextChar"/>
    <w:rsid w:val="003E1421"/>
    <w:rPr>
      <w:sz w:val="20"/>
      <w:szCs w:val="20"/>
    </w:rPr>
  </w:style>
  <w:style w:type="character" w:customStyle="1" w:styleId="EndnoteTextChar">
    <w:name w:val="Endnote Text Char"/>
    <w:basedOn w:val="DefaultParagraphFont"/>
    <w:link w:val="EndnoteText"/>
    <w:rsid w:val="003E1421"/>
  </w:style>
  <w:style w:type="character" w:styleId="EndnoteReference">
    <w:name w:val="endnote reference"/>
    <w:rsid w:val="003E1421"/>
    <w:rPr>
      <w:vertAlign w:val="superscript"/>
    </w:rPr>
  </w:style>
  <w:style w:type="paragraph" w:styleId="FootnoteText">
    <w:name w:val="footnote text"/>
    <w:basedOn w:val="Normal"/>
    <w:link w:val="FootnoteTextChar"/>
    <w:rsid w:val="003E1421"/>
    <w:rPr>
      <w:sz w:val="20"/>
      <w:szCs w:val="20"/>
    </w:rPr>
  </w:style>
  <w:style w:type="character" w:customStyle="1" w:styleId="FootnoteTextChar">
    <w:name w:val="Footnote Text Char"/>
    <w:basedOn w:val="DefaultParagraphFont"/>
    <w:link w:val="FootnoteText"/>
    <w:rsid w:val="003E1421"/>
  </w:style>
  <w:style w:type="character" w:styleId="FootnoteReference">
    <w:name w:val="footnote reference"/>
    <w:rsid w:val="003E1421"/>
    <w:rPr>
      <w:vertAlign w:val="superscript"/>
    </w:rPr>
  </w:style>
  <w:style w:type="paragraph" w:customStyle="1" w:styleId="Default">
    <w:name w:val="Default"/>
    <w:rsid w:val="000B2D32"/>
    <w:pPr>
      <w:autoSpaceDE w:val="0"/>
      <w:autoSpaceDN w:val="0"/>
      <w:adjustRightInd w:val="0"/>
    </w:pPr>
    <w:rPr>
      <w:rFonts w:ascii="Arial" w:hAnsi="Arial" w:cs="Arial"/>
      <w:color w:val="000000"/>
      <w:sz w:val="24"/>
      <w:szCs w:val="24"/>
    </w:rPr>
  </w:style>
  <w:style w:type="character" w:styleId="CommentReference">
    <w:name w:val="annotation reference"/>
    <w:semiHidden/>
    <w:rsid w:val="002055BD"/>
    <w:rPr>
      <w:sz w:val="16"/>
      <w:szCs w:val="16"/>
    </w:rPr>
  </w:style>
  <w:style w:type="paragraph" w:styleId="CommentText">
    <w:name w:val="annotation text"/>
    <w:basedOn w:val="Normal"/>
    <w:semiHidden/>
    <w:rsid w:val="002055BD"/>
    <w:rPr>
      <w:sz w:val="20"/>
      <w:szCs w:val="20"/>
    </w:rPr>
  </w:style>
  <w:style w:type="paragraph" w:styleId="CommentSubject">
    <w:name w:val="annotation subject"/>
    <w:basedOn w:val="CommentText"/>
    <w:next w:val="CommentText"/>
    <w:semiHidden/>
    <w:rsid w:val="002055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BodyText">
    <w:name w:val="Body Text"/>
    <w:basedOn w:val="Normal"/>
    <w:link w:val="BodyTextChar"/>
    <w:rsid w:val="004463AA"/>
    <w:pPr>
      <w:spacing w:after="120"/>
    </w:pPr>
  </w:style>
  <w:style w:type="character" w:customStyle="1" w:styleId="BodyTextChar">
    <w:name w:val="Body Text Char"/>
    <w:link w:val="BodyText"/>
    <w:rsid w:val="004463AA"/>
    <w:rPr>
      <w:sz w:val="24"/>
      <w:szCs w:val="24"/>
    </w:rPr>
  </w:style>
  <w:style w:type="paragraph" w:styleId="BodyTextFirstIndent">
    <w:name w:val="Body Text First Indent"/>
    <w:basedOn w:val="BodyText"/>
    <w:link w:val="BodyTextFirstIndentChar"/>
    <w:uiPriority w:val="99"/>
    <w:unhideWhenUsed/>
    <w:rsid w:val="004463AA"/>
    <w:pPr>
      <w:spacing w:line="360" w:lineRule="auto"/>
      <w:ind w:firstLine="720"/>
      <w:jc w:val="both"/>
    </w:pPr>
    <w:rPr>
      <w:rFonts w:eastAsia="Calibri"/>
      <w:szCs w:val="22"/>
    </w:rPr>
  </w:style>
  <w:style w:type="character" w:customStyle="1" w:styleId="BodyTextFirstIndentChar">
    <w:name w:val="Body Text First Indent Char"/>
    <w:link w:val="BodyTextFirstIndent"/>
    <w:uiPriority w:val="99"/>
    <w:rsid w:val="004463AA"/>
    <w:rPr>
      <w:rFonts w:eastAsia="Calibri"/>
      <w:sz w:val="24"/>
      <w:szCs w:val="22"/>
    </w:rPr>
  </w:style>
  <w:style w:type="character" w:styleId="Hyperlink">
    <w:name w:val="Hyperlink"/>
    <w:uiPriority w:val="99"/>
    <w:rsid w:val="00B73181"/>
    <w:rPr>
      <w:rFonts w:cs="Times New Roman"/>
      <w:color w:val="0000FF"/>
      <w:u w:val="single"/>
    </w:rPr>
  </w:style>
  <w:style w:type="paragraph" w:styleId="EndnoteText">
    <w:name w:val="endnote text"/>
    <w:basedOn w:val="Normal"/>
    <w:link w:val="EndnoteTextChar"/>
    <w:rsid w:val="003E1421"/>
    <w:rPr>
      <w:sz w:val="20"/>
      <w:szCs w:val="20"/>
    </w:rPr>
  </w:style>
  <w:style w:type="character" w:customStyle="1" w:styleId="EndnoteTextChar">
    <w:name w:val="Endnote Text Char"/>
    <w:basedOn w:val="DefaultParagraphFont"/>
    <w:link w:val="EndnoteText"/>
    <w:rsid w:val="003E1421"/>
  </w:style>
  <w:style w:type="character" w:styleId="EndnoteReference">
    <w:name w:val="endnote reference"/>
    <w:rsid w:val="003E1421"/>
    <w:rPr>
      <w:vertAlign w:val="superscript"/>
    </w:rPr>
  </w:style>
  <w:style w:type="paragraph" w:styleId="FootnoteText">
    <w:name w:val="footnote text"/>
    <w:basedOn w:val="Normal"/>
    <w:link w:val="FootnoteTextChar"/>
    <w:rsid w:val="003E1421"/>
    <w:rPr>
      <w:sz w:val="20"/>
      <w:szCs w:val="20"/>
    </w:rPr>
  </w:style>
  <w:style w:type="character" w:customStyle="1" w:styleId="FootnoteTextChar">
    <w:name w:val="Footnote Text Char"/>
    <w:basedOn w:val="DefaultParagraphFont"/>
    <w:link w:val="FootnoteText"/>
    <w:rsid w:val="003E1421"/>
  </w:style>
  <w:style w:type="character" w:styleId="FootnoteReference">
    <w:name w:val="footnote reference"/>
    <w:rsid w:val="003E1421"/>
    <w:rPr>
      <w:vertAlign w:val="superscript"/>
    </w:rPr>
  </w:style>
  <w:style w:type="paragraph" w:customStyle="1" w:styleId="Default">
    <w:name w:val="Default"/>
    <w:rsid w:val="000B2D32"/>
    <w:pPr>
      <w:autoSpaceDE w:val="0"/>
      <w:autoSpaceDN w:val="0"/>
      <w:adjustRightInd w:val="0"/>
    </w:pPr>
    <w:rPr>
      <w:rFonts w:ascii="Arial" w:hAnsi="Arial" w:cs="Arial"/>
      <w:color w:val="000000"/>
      <w:sz w:val="24"/>
      <w:szCs w:val="24"/>
    </w:rPr>
  </w:style>
  <w:style w:type="character" w:styleId="CommentReference">
    <w:name w:val="annotation reference"/>
    <w:semiHidden/>
    <w:rsid w:val="002055BD"/>
    <w:rPr>
      <w:sz w:val="16"/>
      <w:szCs w:val="16"/>
    </w:rPr>
  </w:style>
  <w:style w:type="paragraph" w:styleId="CommentText">
    <w:name w:val="annotation text"/>
    <w:basedOn w:val="Normal"/>
    <w:semiHidden/>
    <w:rsid w:val="002055BD"/>
    <w:rPr>
      <w:sz w:val="20"/>
      <w:szCs w:val="20"/>
    </w:rPr>
  </w:style>
  <w:style w:type="paragraph" w:styleId="CommentSubject">
    <w:name w:val="annotation subject"/>
    <w:basedOn w:val="CommentText"/>
    <w:next w:val="CommentText"/>
    <w:semiHidden/>
    <w:rsid w:val="00205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8438">
      <w:bodyDiv w:val="1"/>
      <w:marLeft w:val="0"/>
      <w:marRight w:val="0"/>
      <w:marTop w:val="0"/>
      <w:marBottom w:val="0"/>
      <w:divBdr>
        <w:top w:val="none" w:sz="0" w:space="0" w:color="auto"/>
        <w:left w:val="none" w:sz="0" w:space="0" w:color="auto"/>
        <w:bottom w:val="none" w:sz="0" w:space="0" w:color="auto"/>
        <w:right w:val="none" w:sz="0" w:space="0" w:color="auto"/>
      </w:divBdr>
    </w:div>
    <w:div w:id="625084680">
      <w:bodyDiv w:val="1"/>
      <w:marLeft w:val="0"/>
      <w:marRight w:val="0"/>
      <w:marTop w:val="0"/>
      <w:marBottom w:val="0"/>
      <w:divBdr>
        <w:top w:val="none" w:sz="0" w:space="0" w:color="auto"/>
        <w:left w:val="none" w:sz="0" w:space="0" w:color="auto"/>
        <w:bottom w:val="none" w:sz="0" w:space="0" w:color="auto"/>
        <w:right w:val="none" w:sz="0" w:space="0" w:color="auto"/>
      </w:divBdr>
    </w:div>
    <w:div w:id="964388286">
      <w:bodyDiv w:val="1"/>
      <w:marLeft w:val="0"/>
      <w:marRight w:val="0"/>
      <w:marTop w:val="0"/>
      <w:marBottom w:val="0"/>
      <w:divBdr>
        <w:top w:val="none" w:sz="0" w:space="0" w:color="auto"/>
        <w:left w:val="none" w:sz="0" w:space="0" w:color="auto"/>
        <w:bottom w:val="none" w:sz="0" w:space="0" w:color="auto"/>
        <w:right w:val="none" w:sz="0" w:space="0" w:color="auto"/>
      </w:divBdr>
    </w:div>
    <w:div w:id="1648631023">
      <w:bodyDiv w:val="1"/>
      <w:marLeft w:val="0"/>
      <w:marRight w:val="0"/>
      <w:marTop w:val="0"/>
      <w:marBottom w:val="0"/>
      <w:divBdr>
        <w:top w:val="none" w:sz="0" w:space="0" w:color="auto"/>
        <w:left w:val="none" w:sz="0" w:space="0" w:color="auto"/>
        <w:bottom w:val="none" w:sz="0" w:space="0" w:color="auto"/>
        <w:right w:val="none" w:sz="0" w:space="0" w:color="auto"/>
      </w:divBdr>
    </w:div>
    <w:div w:id="1910381244">
      <w:bodyDiv w:val="1"/>
      <w:marLeft w:val="0"/>
      <w:marRight w:val="0"/>
      <w:marTop w:val="0"/>
      <w:marBottom w:val="0"/>
      <w:divBdr>
        <w:top w:val="none" w:sz="0" w:space="0" w:color="auto"/>
        <w:left w:val="none" w:sz="0" w:space="0" w:color="auto"/>
        <w:bottom w:val="none" w:sz="0" w:space="0" w:color="auto"/>
        <w:right w:val="none" w:sz="0" w:space="0" w:color="auto"/>
      </w:divBdr>
    </w:div>
    <w:div w:id="19230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algas.com/regulatory/tariffs/tm2/pdf/Special_Facilit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6922</CharactersWithSpaces>
  <SharedDoc>false</SharedDoc>
  <HLinks>
    <vt:vector size="6" baseType="variant">
      <vt:variant>
        <vt:i4>3670025</vt:i4>
      </vt:variant>
      <vt:variant>
        <vt:i4>0</vt:i4>
      </vt:variant>
      <vt:variant>
        <vt:i4>0</vt:i4>
      </vt:variant>
      <vt:variant>
        <vt:i4>5</vt:i4>
      </vt:variant>
      <vt:variant>
        <vt:lpwstr>http://www.socalgas.com/regulatory/tariffs/tm2/pdf/Special_Faciliti.pdf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mfranco</cp:lastModifiedBy>
  <cp:revision>4</cp:revision>
  <cp:lastPrinted>2005-06-11T16:39:00Z</cp:lastPrinted>
  <dcterms:created xsi:type="dcterms:W3CDTF">2012-06-19T15:28:00Z</dcterms:created>
  <dcterms:modified xsi:type="dcterms:W3CDTF">2012-06-19T15:36:00Z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